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371E" w14:textId="77777777" w:rsidR="00983AE6" w:rsidRDefault="00983AE6" w:rsidP="00983AE6">
      <w:pPr>
        <w:spacing w:before="1440" w:after="2640"/>
      </w:pPr>
      <w:bookmarkStart w:id="0" w:name="_GoBack"/>
      <w:bookmarkEnd w:id="0"/>
      <w:r>
        <w:rPr>
          <w:noProof/>
          <w:lang w:eastAsia="en-AU"/>
        </w:rPr>
        <w:drawing>
          <wp:anchor distT="0" distB="0" distL="114300" distR="114300" simplePos="0" relativeHeight="251657216" behindDoc="1" locked="0" layoutInCell="1" allowOverlap="1" wp14:anchorId="5B92FF10" wp14:editId="13B23B59">
            <wp:simplePos x="0" y="0"/>
            <wp:positionH relativeFrom="column">
              <wp:posOffset>-571991</wp:posOffset>
            </wp:positionH>
            <wp:positionV relativeFrom="paragraph">
              <wp:posOffset>-982345</wp:posOffset>
            </wp:positionV>
            <wp:extent cx="7559675" cy="10691495"/>
            <wp:effectExtent l="0" t="0" r="3175"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ork in Progress\_Education\ED16-0251 VET Student Loan Material\ED16-0251_Report Template\links\ED16-0251 VET Student Loan Material_Report Template_Cover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64F86153" wp14:editId="341D75A5">
            <wp:extent cx="2291715" cy="555625"/>
            <wp:effectExtent l="0" t="0" r="0" b="0"/>
            <wp:docPr id="5" name="Picture 5"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ork in Progress\_Education\ED16-0251 VET Student Loan Material\ED16-0251_Report Template\links\ED16-0251 VET Student Loan Material_Report Template_Crest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715" cy="555625"/>
                    </a:xfrm>
                    <a:prstGeom prst="rect">
                      <a:avLst/>
                    </a:prstGeom>
                    <a:noFill/>
                    <a:ln>
                      <a:noFill/>
                    </a:ln>
                  </pic:spPr>
                </pic:pic>
              </a:graphicData>
            </a:graphic>
          </wp:inline>
        </w:drawing>
      </w:r>
    </w:p>
    <w:p w14:paraId="54EA4EF1" w14:textId="77777777" w:rsidR="00983AE6" w:rsidRDefault="00983AE6" w:rsidP="00983AE6">
      <w:pPr>
        <w:spacing w:after="0"/>
      </w:pPr>
      <w:r>
        <w:rPr>
          <w:noProof/>
          <w:lang w:eastAsia="en-AU"/>
        </w:rPr>
        <w:drawing>
          <wp:inline distT="0" distB="0" distL="0" distR="0" wp14:anchorId="3B6EDDB6" wp14:editId="69371D52">
            <wp:extent cx="3252470" cy="786765"/>
            <wp:effectExtent l="0" t="0" r="5080" b="0"/>
            <wp:docPr id="7" name="Picture 7" descr="VET Student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ork in Progress\_Education\ED16-0251 VET Student Loan Material\ED16-0251_Report Template\links\ED16-0251 VET Student Loan Material_Report Template_VET Student Loans logo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2470" cy="786765"/>
                    </a:xfrm>
                    <a:prstGeom prst="rect">
                      <a:avLst/>
                    </a:prstGeom>
                    <a:noFill/>
                    <a:ln>
                      <a:noFill/>
                    </a:ln>
                  </pic:spPr>
                </pic:pic>
              </a:graphicData>
            </a:graphic>
          </wp:inline>
        </w:drawing>
      </w:r>
    </w:p>
    <w:p w14:paraId="3BE3539C" w14:textId="77777777" w:rsidR="00983AE6" w:rsidRDefault="00983AE6" w:rsidP="00983AE6"/>
    <w:p w14:paraId="1B0B5C45" w14:textId="77777777" w:rsidR="00983AE6" w:rsidRDefault="00983AE6" w:rsidP="00983AE6">
      <w:pPr>
        <w:pStyle w:val="Title"/>
      </w:pPr>
      <w:r>
        <w:t>Manual for providers</w:t>
      </w:r>
    </w:p>
    <w:p w14:paraId="1DDF7951" w14:textId="77777777" w:rsidR="00705195" w:rsidRDefault="00705195" w:rsidP="00983AE6"/>
    <w:p w14:paraId="213DDF63" w14:textId="77777777" w:rsidR="00705195" w:rsidRDefault="00705195" w:rsidP="00983AE6"/>
    <w:p w14:paraId="5DAF8CF7" w14:textId="77777777" w:rsidR="00705195" w:rsidRDefault="00705195" w:rsidP="00983AE6"/>
    <w:p w14:paraId="32BFBBD2" w14:textId="77777777" w:rsidR="00705195" w:rsidRDefault="00705195" w:rsidP="00983AE6"/>
    <w:p w14:paraId="009523D6" w14:textId="77777777" w:rsidR="00705195" w:rsidRDefault="00705195" w:rsidP="00983AE6"/>
    <w:p w14:paraId="748C7339" w14:textId="77777777" w:rsidR="00705195" w:rsidRDefault="00705195" w:rsidP="00983AE6"/>
    <w:p w14:paraId="4B2D5189" w14:textId="77777777" w:rsidR="00705195" w:rsidRDefault="00705195" w:rsidP="00983AE6"/>
    <w:p w14:paraId="249DD581" w14:textId="77777777" w:rsidR="00705195" w:rsidRDefault="00705195" w:rsidP="00983AE6"/>
    <w:p w14:paraId="56147C72" w14:textId="72ADD1BF" w:rsidR="00983AE6" w:rsidRPr="0028499D" w:rsidRDefault="00705195" w:rsidP="00983AE6">
      <w:pPr>
        <w:rPr>
          <w:i/>
        </w:rPr>
      </w:pPr>
      <w:r w:rsidRPr="0028499D">
        <w:rPr>
          <w:i/>
        </w:rPr>
        <w:t xml:space="preserve">Version </w:t>
      </w:r>
      <w:r w:rsidR="00AE77BF">
        <w:rPr>
          <w:i/>
        </w:rPr>
        <w:t>2</w:t>
      </w:r>
      <w:r w:rsidR="00D65F83">
        <w:rPr>
          <w:i/>
        </w:rPr>
        <w:t>.0</w:t>
      </w:r>
      <w:r w:rsidRPr="0028499D">
        <w:rPr>
          <w:i/>
        </w:rPr>
        <w:t xml:space="preserve"> – </w:t>
      </w:r>
      <w:r w:rsidR="00AE77BF">
        <w:rPr>
          <w:i/>
        </w:rPr>
        <w:t xml:space="preserve">December </w:t>
      </w:r>
      <w:r w:rsidRPr="0028499D">
        <w:rPr>
          <w:i/>
        </w:rPr>
        <w:t>2017</w:t>
      </w:r>
      <w:r w:rsidR="00983AE6" w:rsidRPr="0028499D">
        <w:rPr>
          <w:i/>
        </w:rPr>
        <w:br w:type="page"/>
      </w:r>
    </w:p>
    <w:sdt>
      <w:sdtPr>
        <w:rPr>
          <w:rFonts w:asciiTheme="minorHAnsi" w:eastAsiaTheme="minorEastAsia" w:hAnsiTheme="minorHAnsi" w:cstheme="minorBidi"/>
          <w:b w:val="0"/>
          <w:bCs w:val="0"/>
          <w:caps w:val="0"/>
          <w:color w:val="auto"/>
          <w:sz w:val="22"/>
          <w:szCs w:val="22"/>
          <w:lang w:bidi="ar-SA"/>
        </w:rPr>
        <w:id w:val="-910233026"/>
        <w:docPartObj>
          <w:docPartGallery w:val="Table of Contents"/>
          <w:docPartUnique/>
        </w:docPartObj>
      </w:sdtPr>
      <w:sdtEndPr>
        <w:rPr>
          <w:noProof/>
        </w:rPr>
      </w:sdtEndPr>
      <w:sdtContent>
        <w:p w14:paraId="6AF6FF4C" w14:textId="77777777" w:rsidR="00FF5070" w:rsidRDefault="00FF5070">
          <w:pPr>
            <w:pStyle w:val="TOCHeading"/>
          </w:pPr>
          <w:r>
            <w:t>Contents</w:t>
          </w:r>
        </w:p>
        <w:p w14:paraId="750B57B5" w14:textId="44455618" w:rsidR="00E918EB" w:rsidRDefault="00FF5070">
          <w:pPr>
            <w:pStyle w:val="TOC2"/>
            <w:rPr>
              <w:lang w:eastAsia="en-AU"/>
            </w:rPr>
          </w:pPr>
          <w:r>
            <w:fldChar w:fldCharType="begin"/>
          </w:r>
          <w:r>
            <w:instrText xml:space="preserve"> TOC \o "1-3" \h \z \u </w:instrText>
          </w:r>
          <w:r>
            <w:fldChar w:fldCharType="separate"/>
          </w:r>
          <w:hyperlink w:anchor="_Toc501621152" w:history="1">
            <w:r w:rsidR="00E918EB" w:rsidRPr="00FA3C2D">
              <w:rPr>
                <w:rStyle w:val="Hyperlink"/>
              </w:rPr>
              <w:t>VET Student Loans Provider Manual – Purpose</w:t>
            </w:r>
            <w:r w:rsidR="00E918EB">
              <w:rPr>
                <w:webHidden/>
              </w:rPr>
              <w:tab/>
            </w:r>
            <w:r w:rsidR="00E918EB">
              <w:rPr>
                <w:webHidden/>
              </w:rPr>
              <w:fldChar w:fldCharType="begin"/>
            </w:r>
            <w:r w:rsidR="00E918EB">
              <w:rPr>
                <w:webHidden/>
              </w:rPr>
              <w:instrText xml:space="preserve"> PAGEREF _Toc501621152 \h </w:instrText>
            </w:r>
            <w:r w:rsidR="00E918EB">
              <w:rPr>
                <w:webHidden/>
              </w:rPr>
            </w:r>
            <w:r w:rsidR="00E918EB">
              <w:rPr>
                <w:webHidden/>
              </w:rPr>
              <w:fldChar w:fldCharType="separate"/>
            </w:r>
            <w:r w:rsidR="0012240F">
              <w:rPr>
                <w:webHidden/>
              </w:rPr>
              <w:t>8</w:t>
            </w:r>
            <w:r w:rsidR="00E918EB">
              <w:rPr>
                <w:webHidden/>
              </w:rPr>
              <w:fldChar w:fldCharType="end"/>
            </w:r>
          </w:hyperlink>
        </w:p>
        <w:p w14:paraId="4F30A2AE" w14:textId="62DE8154" w:rsidR="00E918EB" w:rsidRDefault="0016765E">
          <w:pPr>
            <w:pStyle w:val="TOC1"/>
            <w:rPr>
              <w:lang w:eastAsia="en-AU"/>
            </w:rPr>
          </w:pPr>
          <w:hyperlink w:anchor="_Toc501621153" w:history="1">
            <w:r w:rsidR="00E918EB" w:rsidRPr="00FA3C2D">
              <w:rPr>
                <w:rStyle w:val="Hyperlink"/>
              </w:rPr>
              <w:t>1. VET STUDENT LOANS</w:t>
            </w:r>
            <w:r w:rsidR="00E918EB">
              <w:rPr>
                <w:webHidden/>
              </w:rPr>
              <w:tab/>
            </w:r>
            <w:r w:rsidR="00E918EB">
              <w:rPr>
                <w:webHidden/>
              </w:rPr>
              <w:fldChar w:fldCharType="begin"/>
            </w:r>
            <w:r w:rsidR="00E918EB">
              <w:rPr>
                <w:webHidden/>
              </w:rPr>
              <w:instrText xml:space="preserve"> PAGEREF _Toc501621153 \h </w:instrText>
            </w:r>
            <w:r w:rsidR="00E918EB">
              <w:rPr>
                <w:webHidden/>
              </w:rPr>
            </w:r>
            <w:r w:rsidR="00E918EB">
              <w:rPr>
                <w:webHidden/>
              </w:rPr>
              <w:fldChar w:fldCharType="separate"/>
            </w:r>
            <w:r w:rsidR="0012240F">
              <w:rPr>
                <w:webHidden/>
              </w:rPr>
              <w:t>8</w:t>
            </w:r>
            <w:r w:rsidR="00E918EB">
              <w:rPr>
                <w:webHidden/>
              </w:rPr>
              <w:fldChar w:fldCharType="end"/>
            </w:r>
          </w:hyperlink>
        </w:p>
        <w:p w14:paraId="17DDC4A8" w14:textId="5F2A8AC1" w:rsidR="00E918EB" w:rsidRDefault="0016765E">
          <w:pPr>
            <w:pStyle w:val="TOC2"/>
            <w:rPr>
              <w:lang w:eastAsia="en-AU"/>
            </w:rPr>
          </w:pPr>
          <w:hyperlink w:anchor="_Toc501621154" w:history="1">
            <w:r w:rsidR="00E918EB" w:rsidRPr="00FA3C2D">
              <w:rPr>
                <w:rStyle w:val="Hyperlink"/>
              </w:rPr>
              <w:t>1.1 Key features</w:t>
            </w:r>
            <w:r w:rsidR="00E918EB">
              <w:rPr>
                <w:webHidden/>
              </w:rPr>
              <w:tab/>
            </w:r>
            <w:r w:rsidR="00E918EB">
              <w:rPr>
                <w:webHidden/>
              </w:rPr>
              <w:fldChar w:fldCharType="begin"/>
            </w:r>
            <w:r w:rsidR="00E918EB">
              <w:rPr>
                <w:webHidden/>
              </w:rPr>
              <w:instrText xml:space="preserve"> PAGEREF _Toc501621154 \h </w:instrText>
            </w:r>
            <w:r w:rsidR="00E918EB">
              <w:rPr>
                <w:webHidden/>
              </w:rPr>
            </w:r>
            <w:r w:rsidR="00E918EB">
              <w:rPr>
                <w:webHidden/>
              </w:rPr>
              <w:fldChar w:fldCharType="separate"/>
            </w:r>
            <w:r w:rsidR="0012240F">
              <w:rPr>
                <w:webHidden/>
              </w:rPr>
              <w:t>8</w:t>
            </w:r>
            <w:r w:rsidR="00E918EB">
              <w:rPr>
                <w:webHidden/>
              </w:rPr>
              <w:fldChar w:fldCharType="end"/>
            </w:r>
          </w:hyperlink>
        </w:p>
        <w:p w14:paraId="31CE1389" w14:textId="45DE0B0B" w:rsidR="00E918EB" w:rsidRDefault="0016765E">
          <w:pPr>
            <w:pStyle w:val="TOC2"/>
            <w:rPr>
              <w:lang w:eastAsia="en-AU"/>
            </w:rPr>
          </w:pPr>
          <w:hyperlink w:anchor="_Toc501621155" w:history="1">
            <w:r w:rsidR="00E918EB" w:rsidRPr="00FA3C2D">
              <w:rPr>
                <w:rStyle w:val="Hyperlink"/>
              </w:rPr>
              <w:t>1.2 Program basics quick lookup</w:t>
            </w:r>
            <w:r w:rsidR="00E918EB">
              <w:rPr>
                <w:webHidden/>
              </w:rPr>
              <w:tab/>
            </w:r>
            <w:r w:rsidR="00E918EB">
              <w:rPr>
                <w:webHidden/>
              </w:rPr>
              <w:fldChar w:fldCharType="begin"/>
            </w:r>
            <w:r w:rsidR="00E918EB">
              <w:rPr>
                <w:webHidden/>
              </w:rPr>
              <w:instrText xml:space="preserve"> PAGEREF _Toc501621155 \h </w:instrText>
            </w:r>
            <w:r w:rsidR="00E918EB">
              <w:rPr>
                <w:webHidden/>
              </w:rPr>
            </w:r>
            <w:r w:rsidR="00E918EB">
              <w:rPr>
                <w:webHidden/>
              </w:rPr>
              <w:fldChar w:fldCharType="separate"/>
            </w:r>
            <w:r w:rsidR="0012240F">
              <w:rPr>
                <w:webHidden/>
              </w:rPr>
              <w:t>10</w:t>
            </w:r>
            <w:r w:rsidR="00E918EB">
              <w:rPr>
                <w:webHidden/>
              </w:rPr>
              <w:fldChar w:fldCharType="end"/>
            </w:r>
          </w:hyperlink>
        </w:p>
        <w:p w14:paraId="49D03294" w14:textId="120348F9" w:rsidR="00E918EB" w:rsidRDefault="0016765E">
          <w:pPr>
            <w:pStyle w:val="TOC2"/>
            <w:rPr>
              <w:lang w:eastAsia="en-AU"/>
            </w:rPr>
          </w:pPr>
          <w:hyperlink w:anchor="_Toc501621156" w:history="1">
            <w:r w:rsidR="00E918EB" w:rsidRPr="00FA3C2D">
              <w:rPr>
                <w:rStyle w:val="Hyperlink"/>
              </w:rPr>
              <w:t>1.3 Complying with other legislation</w:t>
            </w:r>
            <w:r w:rsidR="00E918EB">
              <w:rPr>
                <w:webHidden/>
              </w:rPr>
              <w:tab/>
            </w:r>
            <w:r w:rsidR="00E918EB">
              <w:rPr>
                <w:webHidden/>
              </w:rPr>
              <w:fldChar w:fldCharType="begin"/>
            </w:r>
            <w:r w:rsidR="00E918EB">
              <w:rPr>
                <w:webHidden/>
              </w:rPr>
              <w:instrText xml:space="preserve"> PAGEREF _Toc501621156 \h </w:instrText>
            </w:r>
            <w:r w:rsidR="00E918EB">
              <w:rPr>
                <w:webHidden/>
              </w:rPr>
            </w:r>
            <w:r w:rsidR="00E918EB">
              <w:rPr>
                <w:webHidden/>
              </w:rPr>
              <w:fldChar w:fldCharType="separate"/>
            </w:r>
            <w:r w:rsidR="0012240F">
              <w:rPr>
                <w:webHidden/>
              </w:rPr>
              <w:t>11</w:t>
            </w:r>
            <w:r w:rsidR="00E918EB">
              <w:rPr>
                <w:webHidden/>
              </w:rPr>
              <w:fldChar w:fldCharType="end"/>
            </w:r>
          </w:hyperlink>
        </w:p>
        <w:p w14:paraId="5331405D" w14:textId="32B4340C" w:rsidR="00E918EB" w:rsidRDefault="0016765E">
          <w:pPr>
            <w:pStyle w:val="TOC2"/>
            <w:rPr>
              <w:lang w:eastAsia="en-AU"/>
            </w:rPr>
          </w:pPr>
          <w:hyperlink w:anchor="_Toc501621157" w:history="1">
            <w:r w:rsidR="00E918EB" w:rsidRPr="00FA3C2D">
              <w:rPr>
                <w:rStyle w:val="Hyperlink"/>
                <w:rFonts w:eastAsia="Times New Roman"/>
              </w:rPr>
              <w:t>1.4 Useful Links</w:t>
            </w:r>
            <w:r w:rsidR="00E918EB">
              <w:rPr>
                <w:webHidden/>
              </w:rPr>
              <w:tab/>
            </w:r>
            <w:r w:rsidR="00E918EB">
              <w:rPr>
                <w:webHidden/>
              </w:rPr>
              <w:fldChar w:fldCharType="begin"/>
            </w:r>
            <w:r w:rsidR="00E918EB">
              <w:rPr>
                <w:webHidden/>
              </w:rPr>
              <w:instrText xml:space="preserve"> PAGEREF _Toc501621157 \h </w:instrText>
            </w:r>
            <w:r w:rsidR="00E918EB">
              <w:rPr>
                <w:webHidden/>
              </w:rPr>
            </w:r>
            <w:r w:rsidR="00E918EB">
              <w:rPr>
                <w:webHidden/>
              </w:rPr>
              <w:fldChar w:fldCharType="separate"/>
            </w:r>
            <w:r w:rsidR="0012240F">
              <w:rPr>
                <w:webHidden/>
              </w:rPr>
              <w:t>11</w:t>
            </w:r>
            <w:r w:rsidR="00E918EB">
              <w:rPr>
                <w:webHidden/>
              </w:rPr>
              <w:fldChar w:fldCharType="end"/>
            </w:r>
          </w:hyperlink>
        </w:p>
        <w:p w14:paraId="237F1F81" w14:textId="40DD645B" w:rsidR="00E918EB" w:rsidRDefault="0016765E">
          <w:pPr>
            <w:pStyle w:val="TOC2"/>
            <w:rPr>
              <w:lang w:eastAsia="en-AU"/>
            </w:rPr>
          </w:pPr>
          <w:hyperlink w:anchor="_Toc501621158" w:history="1">
            <w:r w:rsidR="00E918EB" w:rsidRPr="00FA3C2D">
              <w:rPr>
                <w:rStyle w:val="Hyperlink"/>
                <w:rFonts w:eastAsia="Times New Roman"/>
              </w:rPr>
              <w:t>1.5 Glossary</w:t>
            </w:r>
            <w:r w:rsidR="00E918EB">
              <w:rPr>
                <w:webHidden/>
              </w:rPr>
              <w:tab/>
            </w:r>
            <w:r w:rsidR="00E918EB">
              <w:rPr>
                <w:webHidden/>
              </w:rPr>
              <w:fldChar w:fldCharType="begin"/>
            </w:r>
            <w:r w:rsidR="00E918EB">
              <w:rPr>
                <w:webHidden/>
              </w:rPr>
              <w:instrText xml:space="preserve"> PAGEREF _Toc501621158 \h </w:instrText>
            </w:r>
            <w:r w:rsidR="00E918EB">
              <w:rPr>
                <w:webHidden/>
              </w:rPr>
            </w:r>
            <w:r w:rsidR="00E918EB">
              <w:rPr>
                <w:webHidden/>
              </w:rPr>
              <w:fldChar w:fldCharType="separate"/>
            </w:r>
            <w:r w:rsidR="0012240F">
              <w:rPr>
                <w:webHidden/>
              </w:rPr>
              <w:t>12</w:t>
            </w:r>
            <w:r w:rsidR="00E918EB">
              <w:rPr>
                <w:webHidden/>
              </w:rPr>
              <w:fldChar w:fldCharType="end"/>
            </w:r>
          </w:hyperlink>
        </w:p>
        <w:p w14:paraId="5EE86B08" w14:textId="5F5C5389" w:rsidR="00E918EB" w:rsidRDefault="0016765E">
          <w:pPr>
            <w:pStyle w:val="TOC1"/>
            <w:rPr>
              <w:lang w:eastAsia="en-AU"/>
            </w:rPr>
          </w:pPr>
          <w:hyperlink w:anchor="_Toc501621159" w:history="1">
            <w:r w:rsidR="00E918EB" w:rsidRPr="00FA3C2D">
              <w:rPr>
                <w:rStyle w:val="Hyperlink"/>
              </w:rPr>
              <w:t>2. Managing existing vet fee-help students</w:t>
            </w:r>
            <w:r w:rsidR="00E918EB">
              <w:rPr>
                <w:webHidden/>
              </w:rPr>
              <w:tab/>
            </w:r>
            <w:r w:rsidR="00E918EB">
              <w:rPr>
                <w:webHidden/>
              </w:rPr>
              <w:fldChar w:fldCharType="begin"/>
            </w:r>
            <w:r w:rsidR="00E918EB">
              <w:rPr>
                <w:webHidden/>
              </w:rPr>
              <w:instrText xml:space="preserve"> PAGEREF _Toc501621159 \h </w:instrText>
            </w:r>
            <w:r w:rsidR="00E918EB">
              <w:rPr>
                <w:webHidden/>
              </w:rPr>
            </w:r>
            <w:r w:rsidR="00E918EB">
              <w:rPr>
                <w:webHidden/>
              </w:rPr>
              <w:fldChar w:fldCharType="separate"/>
            </w:r>
            <w:r w:rsidR="0012240F">
              <w:rPr>
                <w:webHidden/>
              </w:rPr>
              <w:t>14</w:t>
            </w:r>
            <w:r w:rsidR="00E918EB">
              <w:rPr>
                <w:webHidden/>
              </w:rPr>
              <w:fldChar w:fldCharType="end"/>
            </w:r>
          </w:hyperlink>
        </w:p>
        <w:p w14:paraId="155F0393" w14:textId="61EFC903" w:rsidR="00E918EB" w:rsidRDefault="0016765E">
          <w:pPr>
            <w:pStyle w:val="TOC2"/>
            <w:rPr>
              <w:lang w:eastAsia="en-AU"/>
            </w:rPr>
          </w:pPr>
          <w:hyperlink w:anchor="_Toc501621160" w:history="1">
            <w:r w:rsidR="00E918EB" w:rsidRPr="00FA3C2D">
              <w:rPr>
                <w:rStyle w:val="Hyperlink"/>
                <w:rFonts w:eastAsia="Times New Roman"/>
              </w:rPr>
              <w:t>2.1 Grandfathering 2017</w:t>
            </w:r>
            <w:r w:rsidR="00E918EB">
              <w:rPr>
                <w:webHidden/>
              </w:rPr>
              <w:tab/>
            </w:r>
            <w:r w:rsidR="00E918EB">
              <w:rPr>
                <w:webHidden/>
              </w:rPr>
              <w:fldChar w:fldCharType="begin"/>
            </w:r>
            <w:r w:rsidR="00E918EB">
              <w:rPr>
                <w:webHidden/>
              </w:rPr>
              <w:instrText xml:space="preserve"> PAGEREF _Toc501621160 \h </w:instrText>
            </w:r>
            <w:r w:rsidR="00E918EB">
              <w:rPr>
                <w:webHidden/>
              </w:rPr>
            </w:r>
            <w:r w:rsidR="00E918EB">
              <w:rPr>
                <w:webHidden/>
              </w:rPr>
              <w:fldChar w:fldCharType="separate"/>
            </w:r>
            <w:r w:rsidR="0012240F">
              <w:rPr>
                <w:webHidden/>
              </w:rPr>
              <w:t>14</w:t>
            </w:r>
            <w:r w:rsidR="00E918EB">
              <w:rPr>
                <w:webHidden/>
              </w:rPr>
              <w:fldChar w:fldCharType="end"/>
            </w:r>
          </w:hyperlink>
        </w:p>
        <w:p w14:paraId="7918E6EE" w14:textId="4F60C1D1" w:rsidR="00E918EB" w:rsidRDefault="0016765E">
          <w:pPr>
            <w:pStyle w:val="TOC2"/>
            <w:rPr>
              <w:lang w:eastAsia="en-AU"/>
            </w:rPr>
          </w:pPr>
          <w:hyperlink w:anchor="_Toc501621161" w:history="1">
            <w:r w:rsidR="00E918EB" w:rsidRPr="00FA3C2D">
              <w:rPr>
                <w:rStyle w:val="Hyperlink"/>
                <w:rFonts w:eastAsia="Times New Roman"/>
              </w:rPr>
              <w:t>2.2 Grandfathering 2018</w:t>
            </w:r>
            <w:r w:rsidR="00E918EB">
              <w:rPr>
                <w:webHidden/>
              </w:rPr>
              <w:tab/>
            </w:r>
            <w:r w:rsidR="00E918EB">
              <w:rPr>
                <w:webHidden/>
              </w:rPr>
              <w:fldChar w:fldCharType="begin"/>
            </w:r>
            <w:r w:rsidR="00E918EB">
              <w:rPr>
                <w:webHidden/>
              </w:rPr>
              <w:instrText xml:space="preserve"> PAGEREF _Toc501621161 \h </w:instrText>
            </w:r>
            <w:r w:rsidR="00E918EB">
              <w:rPr>
                <w:webHidden/>
              </w:rPr>
            </w:r>
            <w:r w:rsidR="00E918EB">
              <w:rPr>
                <w:webHidden/>
              </w:rPr>
              <w:fldChar w:fldCharType="separate"/>
            </w:r>
            <w:r w:rsidR="0012240F">
              <w:rPr>
                <w:webHidden/>
              </w:rPr>
              <w:t>14</w:t>
            </w:r>
            <w:r w:rsidR="00E918EB">
              <w:rPr>
                <w:webHidden/>
              </w:rPr>
              <w:fldChar w:fldCharType="end"/>
            </w:r>
          </w:hyperlink>
        </w:p>
        <w:p w14:paraId="4B603212" w14:textId="4AF502E4" w:rsidR="00E918EB" w:rsidRDefault="0016765E">
          <w:pPr>
            <w:pStyle w:val="TOC3"/>
            <w:rPr>
              <w:noProof/>
              <w:lang w:eastAsia="en-AU"/>
            </w:rPr>
          </w:pPr>
          <w:hyperlink w:anchor="_Toc501621162" w:history="1">
            <w:r w:rsidR="00E918EB" w:rsidRPr="00FA3C2D">
              <w:rPr>
                <w:rStyle w:val="Hyperlink"/>
                <w:noProof/>
              </w:rPr>
              <w:t>2.2.1   Exceptional circumstances</w:t>
            </w:r>
            <w:r w:rsidR="00E918EB">
              <w:rPr>
                <w:noProof/>
                <w:webHidden/>
              </w:rPr>
              <w:tab/>
            </w:r>
            <w:r w:rsidR="00E918EB">
              <w:rPr>
                <w:noProof/>
                <w:webHidden/>
              </w:rPr>
              <w:fldChar w:fldCharType="begin"/>
            </w:r>
            <w:r w:rsidR="00E918EB">
              <w:rPr>
                <w:noProof/>
                <w:webHidden/>
              </w:rPr>
              <w:instrText xml:space="preserve"> PAGEREF _Toc501621162 \h </w:instrText>
            </w:r>
            <w:r w:rsidR="00E918EB">
              <w:rPr>
                <w:noProof/>
                <w:webHidden/>
              </w:rPr>
            </w:r>
            <w:r w:rsidR="00E918EB">
              <w:rPr>
                <w:noProof/>
                <w:webHidden/>
              </w:rPr>
              <w:fldChar w:fldCharType="separate"/>
            </w:r>
            <w:r w:rsidR="0012240F">
              <w:rPr>
                <w:noProof/>
                <w:webHidden/>
              </w:rPr>
              <w:t>15</w:t>
            </w:r>
            <w:r w:rsidR="00E918EB">
              <w:rPr>
                <w:noProof/>
                <w:webHidden/>
              </w:rPr>
              <w:fldChar w:fldCharType="end"/>
            </w:r>
          </w:hyperlink>
        </w:p>
        <w:p w14:paraId="446DAEE3" w14:textId="2F1909E6" w:rsidR="00E918EB" w:rsidRDefault="0016765E">
          <w:pPr>
            <w:pStyle w:val="TOC3"/>
            <w:rPr>
              <w:noProof/>
              <w:lang w:eastAsia="en-AU"/>
            </w:rPr>
          </w:pPr>
          <w:hyperlink w:anchor="_Toc501621163" w:history="1">
            <w:r w:rsidR="00E918EB" w:rsidRPr="00FA3C2D">
              <w:rPr>
                <w:rStyle w:val="Hyperlink"/>
                <w:noProof/>
              </w:rPr>
              <w:t>2.2.2   Timing</w:t>
            </w:r>
            <w:r w:rsidR="00E918EB">
              <w:rPr>
                <w:noProof/>
                <w:webHidden/>
              </w:rPr>
              <w:tab/>
            </w:r>
            <w:r w:rsidR="00E918EB">
              <w:rPr>
                <w:noProof/>
                <w:webHidden/>
              </w:rPr>
              <w:fldChar w:fldCharType="begin"/>
            </w:r>
            <w:r w:rsidR="00E918EB">
              <w:rPr>
                <w:noProof/>
                <w:webHidden/>
              </w:rPr>
              <w:instrText xml:space="preserve"> PAGEREF _Toc501621163 \h </w:instrText>
            </w:r>
            <w:r w:rsidR="00E918EB">
              <w:rPr>
                <w:noProof/>
                <w:webHidden/>
              </w:rPr>
            </w:r>
            <w:r w:rsidR="00E918EB">
              <w:rPr>
                <w:noProof/>
                <w:webHidden/>
              </w:rPr>
              <w:fldChar w:fldCharType="separate"/>
            </w:r>
            <w:r w:rsidR="0012240F">
              <w:rPr>
                <w:noProof/>
                <w:webHidden/>
              </w:rPr>
              <w:t>16</w:t>
            </w:r>
            <w:r w:rsidR="00E918EB">
              <w:rPr>
                <w:noProof/>
                <w:webHidden/>
              </w:rPr>
              <w:fldChar w:fldCharType="end"/>
            </w:r>
          </w:hyperlink>
        </w:p>
        <w:p w14:paraId="3EDB05D8" w14:textId="2EC7B08E" w:rsidR="00E918EB" w:rsidRDefault="0016765E">
          <w:pPr>
            <w:pStyle w:val="TOC2"/>
            <w:rPr>
              <w:lang w:eastAsia="en-AU"/>
            </w:rPr>
          </w:pPr>
          <w:hyperlink w:anchor="_Toc501621164" w:history="1">
            <w:r w:rsidR="00E918EB" w:rsidRPr="00FA3C2D">
              <w:rPr>
                <w:rStyle w:val="Hyperlink"/>
                <w:rFonts w:eastAsia="Times New Roman"/>
              </w:rPr>
              <w:t>2.3 Reporting grandfathered students</w:t>
            </w:r>
            <w:r w:rsidR="00E918EB">
              <w:rPr>
                <w:webHidden/>
              </w:rPr>
              <w:tab/>
            </w:r>
            <w:r w:rsidR="00E918EB">
              <w:rPr>
                <w:webHidden/>
              </w:rPr>
              <w:fldChar w:fldCharType="begin"/>
            </w:r>
            <w:r w:rsidR="00E918EB">
              <w:rPr>
                <w:webHidden/>
              </w:rPr>
              <w:instrText xml:space="preserve"> PAGEREF _Toc501621164 \h </w:instrText>
            </w:r>
            <w:r w:rsidR="00E918EB">
              <w:rPr>
                <w:webHidden/>
              </w:rPr>
            </w:r>
            <w:r w:rsidR="00E918EB">
              <w:rPr>
                <w:webHidden/>
              </w:rPr>
              <w:fldChar w:fldCharType="separate"/>
            </w:r>
            <w:r w:rsidR="0012240F">
              <w:rPr>
                <w:webHidden/>
              </w:rPr>
              <w:t>16</w:t>
            </w:r>
            <w:r w:rsidR="00E918EB">
              <w:rPr>
                <w:webHidden/>
              </w:rPr>
              <w:fldChar w:fldCharType="end"/>
            </w:r>
          </w:hyperlink>
        </w:p>
        <w:p w14:paraId="737BFEF7" w14:textId="7C2B7668" w:rsidR="00E918EB" w:rsidRDefault="0016765E">
          <w:pPr>
            <w:pStyle w:val="TOC2"/>
            <w:rPr>
              <w:lang w:eastAsia="en-AU"/>
            </w:rPr>
          </w:pPr>
          <w:hyperlink w:anchor="_Toc501621165" w:history="1">
            <w:r w:rsidR="00E918EB" w:rsidRPr="00FA3C2D">
              <w:rPr>
                <w:rStyle w:val="Hyperlink"/>
                <w:rFonts w:eastAsia="Times New Roman"/>
              </w:rPr>
              <w:t>2.4 Superseded courses</w:t>
            </w:r>
            <w:r w:rsidR="00E918EB">
              <w:rPr>
                <w:webHidden/>
              </w:rPr>
              <w:tab/>
            </w:r>
            <w:r w:rsidR="00E918EB">
              <w:rPr>
                <w:webHidden/>
              </w:rPr>
              <w:fldChar w:fldCharType="begin"/>
            </w:r>
            <w:r w:rsidR="00E918EB">
              <w:rPr>
                <w:webHidden/>
              </w:rPr>
              <w:instrText xml:space="preserve"> PAGEREF _Toc501621165 \h </w:instrText>
            </w:r>
            <w:r w:rsidR="00E918EB">
              <w:rPr>
                <w:webHidden/>
              </w:rPr>
            </w:r>
            <w:r w:rsidR="00E918EB">
              <w:rPr>
                <w:webHidden/>
              </w:rPr>
              <w:fldChar w:fldCharType="separate"/>
            </w:r>
            <w:r w:rsidR="0012240F">
              <w:rPr>
                <w:webHidden/>
              </w:rPr>
              <w:t>16</w:t>
            </w:r>
            <w:r w:rsidR="00E918EB">
              <w:rPr>
                <w:webHidden/>
              </w:rPr>
              <w:fldChar w:fldCharType="end"/>
            </w:r>
          </w:hyperlink>
        </w:p>
        <w:p w14:paraId="76F13F37" w14:textId="52F00546" w:rsidR="00E918EB" w:rsidRDefault="0016765E">
          <w:pPr>
            <w:pStyle w:val="TOC2"/>
            <w:rPr>
              <w:lang w:eastAsia="en-AU"/>
            </w:rPr>
          </w:pPr>
          <w:hyperlink w:anchor="_Toc501621166" w:history="1">
            <w:r w:rsidR="00E918EB" w:rsidRPr="00FA3C2D">
              <w:rPr>
                <w:rStyle w:val="Hyperlink"/>
                <w:rFonts w:eastAsia="Times New Roman"/>
              </w:rPr>
              <w:t>2.5 Students switching to VET Student Loans</w:t>
            </w:r>
            <w:r w:rsidR="00E918EB">
              <w:rPr>
                <w:webHidden/>
              </w:rPr>
              <w:tab/>
            </w:r>
            <w:r w:rsidR="00E918EB">
              <w:rPr>
                <w:webHidden/>
              </w:rPr>
              <w:fldChar w:fldCharType="begin"/>
            </w:r>
            <w:r w:rsidR="00E918EB">
              <w:rPr>
                <w:webHidden/>
              </w:rPr>
              <w:instrText xml:space="preserve"> PAGEREF _Toc501621166 \h </w:instrText>
            </w:r>
            <w:r w:rsidR="00E918EB">
              <w:rPr>
                <w:webHidden/>
              </w:rPr>
            </w:r>
            <w:r w:rsidR="00E918EB">
              <w:rPr>
                <w:webHidden/>
              </w:rPr>
              <w:fldChar w:fldCharType="separate"/>
            </w:r>
            <w:r w:rsidR="0012240F">
              <w:rPr>
                <w:webHidden/>
              </w:rPr>
              <w:t>17</w:t>
            </w:r>
            <w:r w:rsidR="00E918EB">
              <w:rPr>
                <w:webHidden/>
              </w:rPr>
              <w:fldChar w:fldCharType="end"/>
            </w:r>
          </w:hyperlink>
        </w:p>
        <w:p w14:paraId="201319FE" w14:textId="76E88D81" w:rsidR="00E918EB" w:rsidRDefault="0016765E">
          <w:pPr>
            <w:pStyle w:val="TOC2"/>
            <w:rPr>
              <w:lang w:eastAsia="en-AU"/>
            </w:rPr>
          </w:pPr>
          <w:hyperlink w:anchor="_Toc501621167" w:history="1">
            <w:r w:rsidR="00E918EB" w:rsidRPr="00FA3C2D">
              <w:rPr>
                <w:rStyle w:val="Hyperlink"/>
                <w:rFonts w:eastAsia="Times New Roman"/>
              </w:rPr>
              <w:t>2.6 Changes in corporate structure</w:t>
            </w:r>
            <w:r w:rsidR="00E918EB">
              <w:rPr>
                <w:webHidden/>
              </w:rPr>
              <w:tab/>
            </w:r>
            <w:r w:rsidR="00E918EB">
              <w:rPr>
                <w:webHidden/>
              </w:rPr>
              <w:fldChar w:fldCharType="begin"/>
            </w:r>
            <w:r w:rsidR="00E918EB">
              <w:rPr>
                <w:webHidden/>
              </w:rPr>
              <w:instrText xml:space="preserve"> PAGEREF _Toc501621167 \h </w:instrText>
            </w:r>
            <w:r w:rsidR="00E918EB">
              <w:rPr>
                <w:webHidden/>
              </w:rPr>
            </w:r>
            <w:r w:rsidR="00E918EB">
              <w:rPr>
                <w:webHidden/>
              </w:rPr>
              <w:fldChar w:fldCharType="separate"/>
            </w:r>
            <w:r w:rsidR="0012240F">
              <w:rPr>
                <w:webHidden/>
              </w:rPr>
              <w:t>17</w:t>
            </w:r>
            <w:r w:rsidR="00E918EB">
              <w:rPr>
                <w:webHidden/>
              </w:rPr>
              <w:fldChar w:fldCharType="end"/>
            </w:r>
          </w:hyperlink>
        </w:p>
        <w:p w14:paraId="17D8E63D" w14:textId="7E19C22A" w:rsidR="00E918EB" w:rsidRDefault="0016765E">
          <w:pPr>
            <w:pStyle w:val="TOC2"/>
            <w:rPr>
              <w:lang w:eastAsia="en-AU"/>
            </w:rPr>
          </w:pPr>
          <w:hyperlink w:anchor="_Toc501621168" w:history="1">
            <w:r w:rsidR="00E918EB" w:rsidRPr="00FA3C2D">
              <w:rPr>
                <w:rStyle w:val="Hyperlink"/>
                <w:rFonts w:eastAsia="Times New Roman"/>
              </w:rPr>
              <w:t>2.7 Continuing third party arrangements</w:t>
            </w:r>
            <w:r w:rsidR="00E918EB">
              <w:rPr>
                <w:webHidden/>
              </w:rPr>
              <w:tab/>
            </w:r>
            <w:r w:rsidR="00E918EB">
              <w:rPr>
                <w:webHidden/>
              </w:rPr>
              <w:fldChar w:fldCharType="begin"/>
            </w:r>
            <w:r w:rsidR="00E918EB">
              <w:rPr>
                <w:webHidden/>
              </w:rPr>
              <w:instrText xml:space="preserve"> PAGEREF _Toc501621168 \h </w:instrText>
            </w:r>
            <w:r w:rsidR="00E918EB">
              <w:rPr>
                <w:webHidden/>
              </w:rPr>
            </w:r>
            <w:r w:rsidR="00E918EB">
              <w:rPr>
                <w:webHidden/>
              </w:rPr>
              <w:fldChar w:fldCharType="separate"/>
            </w:r>
            <w:r w:rsidR="0012240F">
              <w:rPr>
                <w:webHidden/>
              </w:rPr>
              <w:t>17</w:t>
            </w:r>
            <w:r w:rsidR="00E918EB">
              <w:rPr>
                <w:webHidden/>
              </w:rPr>
              <w:fldChar w:fldCharType="end"/>
            </w:r>
          </w:hyperlink>
        </w:p>
        <w:p w14:paraId="77057824" w14:textId="10FE457B" w:rsidR="00E918EB" w:rsidRDefault="0016765E">
          <w:pPr>
            <w:pStyle w:val="TOC1"/>
            <w:rPr>
              <w:lang w:eastAsia="en-AU"/>
            </w:rPr>
          </w:pPr>
          <w:hyperlink w:anchor="_Toc501621169" w:history="1">
            <w:r w:rsidR="00E918EB" w:rsidRPr="00FA3C2D">
              <w:rPr>
                <w:rStyle w:val="Hyperlink"/>
              </w:rPr>
              <w:t>3. Becoming an approved course provider</w:t>
            </w:r>
            <w:r w:rsidR="00E918EB">
              <w:rPr>
                <w:webHidden/>
              </w:rPr>
              <w:tab/>
            </w:r>
            <w:r w:rsidR="00E918EB">
              <w:rPr>
                <w:webHidden/>
              </w:rPr>
              <w:fldChar w:fldCharType="begin"/>
            </w:r>
            <w:r w:rsidR="00E918EB">
              <w:rPr>
                <w:webHidden/>
              </w:rPr>
              <w:instrText xml:space="preserve"> PAGEREF _Toc501621169 \h </w:instrText>
            </w:r>
            <w:r w:rsidR="00E918EB">
              <w:rPr>
                <w:webHidden/>
              </w:rPr>
            </w:r>
            <w:r w:rsidR="00E918EB">
              <w:rPr>
                <w:webHidden/>
              </w:rPr>
              <w:fldChar w:fldCharType="separate"/>
            </w:r>
            <w:r w:rsidR="0012240F">
              <w:rPr>
                <w:webHidden/>
              </w:rPr>
              <w:t>18</w:t>
            </w:r>
            <w:r w:rsidR="00E918EB">
              <w:rPr>
                <w:webHidden/>
              </w:rPr>
              <w:fldChar w:fldCharType="end"/>
            </w:r>
          </w:hyperlink>
        </w:p>
        <w:p w14:paraId="27DEEFF2" w14:textId="1ECA2BAA" w:rsidR="00E918EB" w:rsidRDefault="0016765E">
          <w:pPr>
            <w:pStyle w:val="TOC2"/>
            <w:rPr>
              <w:lang w:eastAsia="en-AU"/>
            </w:rPr>
          </w:pPr>
          <w:hyperlink w:anchor="_Toc501621170" w:history="1">
            <w:r w:rsidR="00E918EB" w:rsidRPr="00FA3C2D">
              <w:rPr>
                <w:rStyle w:val="Hyperlink"/>
                <w:rFonts w:eastAsia="Times New Roman"/>
              </w:rPr>
              <w:t>3.1 Application fee</w:t>
            </w:r>
            <w:r w:rsidR="00E918EB">
              <w:rPr>
                <w:webHidden/>
              </w:rPr>
              <w:tab/>
            </w:r>
            <w:r w:rsidR="00E918EB">
              <w:rPr>
                <w:webHidden/>
              </w:rPr>
              <w:fldChar w:fldCharType="begin"/>
            </w:r>
            <w:r w:rsidR="00E918EB">
              <w:rPr>
                <w:webHidden/>
              </w:rPr>
              <w:instrText xml:space="preserve"> PAGEREF _Toc501621170 \h </w:instrText>
            </w:r>
            <w:r w:rsidR="00E918EB">
              <w:rPr>
                <w:webHidden/>
              </w:rPr>
            </w:r>
            <w:r w:rsidR="00E918EB">
              <w:rPr>
                <w:webHidden/>
              </w:rPr>
              <w:fldChar w:fldCharType="separate"/>
            </w:r>
            <w:r w:rsidR="0012240F">
              <w:rPr>
                <w:webHidden/>
              </w:rPr>
              <w:t>18</w:t>
            </w:r>
            <w:r w:rsidR="00E918EB">
              <w:rPr>
                <w:webHidden/>
              </w:rPr>
              <w:fldChar w:fldCharType="end"/>
            </w:r>
          </w:hyperlink>
        </w:p>
        <w:p w14:paraId="2EA7DBED" w14:textId="2A1F1D4D" w:rsidR="00E918EB" w:rsidRDefault="0016765E">
          <w:pPr>
            <w:pStyle w:val="TOC2"/>
            <w:rPr>
              <w:lang w:eastAsia="en-AU"/>
            </w:rPr>
          </w:pPr>
          <w:hyperlink w:anchor="_Toc501621171" w:history="1">
            <w:r w:rsidR="00E918EB" w:rsidRPr="00FA3C2D">
              <w:rPr>
                <w:rStyle w:val="Hyperlink"/>
                <w:rFonts w:eastAsia="Times New Roman"/>
              </w:rPr>
              <w:t>3.2 Annual charge</w:t>
            </w:r>
            <w:r w:rsidR="00E918EB">
              <w:rPr>
                <w:webHidden/>
              </w:rPr>
              <w:tab/>
            </w:r>
            <w:r w:rsidR="00E918EB">
              <w:rPr>
                <w:webHidden/>
              </w:rPr>
              <w:fldChar w:fldCharType="begin"/>
            </w:r>
            <w:r w:rsidR="00E918EB">
              <w:rPr>
                <w:webHidden/>
              </w:rPr>
              <w:instrText xml:space="preserve"> PAGEREF _Toc501621171 \h </w:instrText>
            </w:r>
            <w:r w:rsidR="00E918EB">
              <w:rPr>
                <w:webHidden/>
              </w:rPr>
            </w:r>
            <w:r w:rsidR="00E918EB">
              <w:rPr>
                <w:webHidden/>
              </w:rPr>
              <w:fldChar w:fldCharType="separate"/>
            </w:r>
            <w:r w:rsidR="0012240F">
              <w:rPr>
                <w:webHidden/>
              </w:rPr>
              <w:t>18</w:t>
            </w:r>
            <w:r w:rsidR="00E918EB">
              <w:rPr>
                <w:webHidden/>
              </w:rPr>
              <w:fldChar w:fldCharType="end"/>
            </w:r>
          </w:hyperlink>
        </w:p>
        <w:p w14:paraId="78ACD1BC" w14:textId="3D7CF129" w:rsidR="00E918EB" w:rsidRDefault="0016765E">
          <w:pPr>
            <w:pStyle w:val="TOC1"/>
            <w:rPr>
              <w:lang w:eastAsia="en-AU"/>
            </w:rPr>
          </w:pPr>
          <w:hyperlink w:anchor="_Toc501621172" w:history="1">
            <w:r w:rsidR="00E918EB" w:rsidRPr="00FA3C2D">
              <w:rPr>
                <w:rStyle w:val="Hyperlink"/>
              </w:rPr>
              <w:t>4. Provider obligations</w:t>
            </w:r>
            <w:r w:rsidR="00E918EB">
              <w:rPr>
                <w:webHidden/>
              </w:rPr>
              <w:tab/>
            </w:r>
            <w:r w:rsidR="00E918EB">
              <w:rPr>
                <w:webHidden/>
              </w:rPr>
              <w:fldChar w:fldCharType="begin"/>
            </w:r>
            <w:r w:rsidR="00E918EB">
              <w:rPr>
                <w:webHidden/>
              </w:rPr>
              <w:instrText xml:space="preserve"> PAGEREF _Toc501621172 \h </w:instrText>
            </w:r>
            <w:r w:rsidR="00E918EB">
              <w:rPr>
                <w:webHidden/>
              </w:rPr>
            </w:r>
            <w:r w:rsidR="00E918EB">
              <w:rPr>
                <w:webHidden/>
              </w:rPr>
              <w:fldChar w:fldCharType="separate"/>
            </w:r>
            <w:r w:rsidR="0012240F">
              <w:rPr>
                <w:webHidden/>
              </w:rPr>
              <w:t>20</w:t>
            </w:r>
            <w:r w:rsidR="00E918EB">
              <w:rPr>
                <w:webHidden/>
              </w:rPr>
              <w:fldChar w:fldCharType="end"/>
            </w:r>
          </w:hyperlink>
        </w:p>
        <w:p w14:paraId="18F713CF" w14:textId="30430746" w:rsidR="00E918EB" w:rsidRDefault="0016765E">
          <w:pPr>
            <w:pStyle w:val="TOC2"/>
            <w:tabs>
              <w:tab w:val="left" w:pos="1100"/>
            </w:tabs>
            <w:rPr>
              <w:lang w:eastAsia="en-AU"/>
            </w:rPr>
          </w:pPr>
          <w:hyperlink w:anchor="_Toc501621173" w:history="1">
            <w:r w:rsidR="00E918EB" w:rsidRPr="00FA3C2D">
              <w:rPr>
                <w:rStyle w:val="Hyperlink"/>
                <w:rFonts w:eastAsia="Times New Roman"/>
              </w:rPr>
              <w:t>4.1</w:t>
            </w:r>
            <w:r w:rsidR="007E07E1">
              <w:rPr>
                <w:rStyle w:val="Hyperlink"/>
                <w:rFonts w:eastAsia="Times New Roman"/>
              </w:rPr>
              <w:t xml:space="preserve">  </w:t>
            </w:r>
            <w:r w:rsidR="00E918EB" w:rsidRPr="00FA3C2D">
              <w:rPr>
                <w:rStyle w:val="Hyperlink"/>
                <w:rFonts w:eastAsia="Times New Roman"/>
              </w:rPr>
              <w:t>Compliance</w:t>
            </w:r>
            <w:r w:rsidR="00E918EB">
              <w:rPr>
                <w:webHidden/>
              </w:rPr>
              <w:tab/>
            </w:r>
            <w:r w:rsidR="00E918EB">
              <w:rPr>
                <w:webHidden/>
              </w:rPr>
              <w:fldChar w:fldCharType="begin"/>
            </w:r>
            <w:r w:rsidR="00E918EB">
              <w:rPr>
                <w:webHidden/>
              </w:rPr>
              <w:instrText xml:space="preserve"> PAGEREF _Toc501621173 \h </w:instrText>
            </w:r>
            <w:r w:rsidR="00E918EB">
              <w:rPr>
                <w:webHidden/>
              </w:rPr>
            </w:r>
            <w:r w:rsidR="00E918EB">
              <w:rPr>
                <w:webHidden/>
              </w:rPr>
              <w:fldChar w:fldCharType="separate"/>
            </w:r>
            <w:r w:rsidR="0012240F">
              <w:rPr>
                <w:webHidden/>
              </w:rPr>
              <w:t>20</w:t>
            </w:r>
            <w:r w:rsidR="00E918EB">
              <w:rPr>
                <w:webHidden/>
              </w:rPr>
              <w:fldChar w:fldCharType="end"/>
            </w:r>
          </w:hyperlink>
        </w:p>
        <w:p w14:paraId="59BF9F13" w14:textId="275377C0" w:rsidR="00E918EB" w:rsidRDefault="0016765E">
          <w:pPr>
            <w:pStyle w:val="TOC3"/>
            <w:rPr>
              <w:noProof/>
              <w:lang w:eastAsia="en-AU"/>
            </w:rPr>
          </w:pPr>
          <w:hyperlink w:anchor="_Toc501621174" w:history="1">
            <w:r w:rsidR="00E918EB" w:rsidRPr="00FA3C2D">
              <w:rPr>
                <w:rStyle w:val="Hyperlink"/>
                <w:noProof/>
              </w:rPr>
              <w:t>4.1.1   Audits and responding to requests for information</w:t>
            </w:r>
            <w:r w:rsidR="00E918EB">
              <w:rPr>
                <w:noProof/>
                <w:webHidden/>
              </w:rPr>
              <w:tab/>
            </w:r>
            <w:r w:rsidR="00E918EB">
              <w:rPr>
                <w:noProof/>
                <w:webHidden/>
              </w:rPr>
              <w:fldChar w:fldCharType="begin"/>
            </w:r>
            <w:r w:rsidR="00E918EB">
              <w:rPr>
                <w:noProof/>
                <w:webHidden/>
              </w:rPr>
              <w:instrText xml:space="preserve"> PAGEREF _Toc501621174 \h </w:instrText>
            </w:r>
            <w:r w:rsidR="00E918EB">
              <w:rPr>
                <w:noProof/>
                <w:webHidden/>
              </w:rPr>
            </w:r>
            <w:r w:rsidR="00E918EB">
              <w:rPr>
                <w:noProof/>
                <w:webHidden/>
              </w:rPr>
              <w:fldChar w:fldCharType="separate"/>
            </w:r>
            <w:r w:rsidR="0012240F">
              <w:rPr>
                <w:noProof/>
                <w:webHidden/>
              </w:rPr>
              <w:t>20</w:t>
            </w:r>
            <w:r w:rsidR="00E918EB">
              <w:rPr>
                <w:noProof/>
                <w:webHidden/>
              </w:rPr>
              <w:fldChar w:fldCharType="end"/>
            </w:r>
          </w:hyperlink>
        </w:p>
        <w:p w14:paraId="2746828E" w14:textId="69BF23E5" w:rsidR="00E918EB" w:rsidRDefault="0016765E">
          <w:pPr>
            <w:pStyle w:val="TOC3"/>
            <w:rPr>
              <w:noProof/>
              <w:lang w:eastAsia="en-AU"/>
            </w:rPr>
          </w:pPr>
          <w:hyperlink w:anchor="_Toc501621175" w:history="1">
            <w:r w:rsidR="00E918EB" w:rsidRPr="00FA3C2D">
              <w:rPr>
                <w:rStyle w:val="Hyperlink"/>
                <w:noProof/>
              </w:rPr>
              <w:t>4.1.2   Regulatory powers</w:t>
            </w:r>
            <w:r w:rsidR="00E918EB">
              <w:rPr>
                <w:noProof/>
                <w:webHidden/>
              </w:rPr>
              <w:tab/>
            </w:r>
            <w:r w:rsidR="00E918EB">
              <w:rPr>
                <w:noProof/>
                <w:webHidden/>
              </w:rPr>
              <w:fldChar w:fldCharType="begin"/>
            </w:r>
            <w:r w:rsidR="00E918EB">
              <w:rPr>
                <w:noProof/>
                <w:webHidden/>
              </w:rPr>
              <w:instrText xml:space="preserve"> PAGEREF _Toc501621175 \h </w:instrText>
            </w:r>
            <w:r w:rsidR="00E918EB">
              <w:rPr>
                <w:noProof/>
                <w:webHidden/>
              </w:rPr>
            </w:r>
            <w:r w:rsidR="00E918EB">
              <w:rPr>
                <w:noProof/>
                <w:webHidden/>
              </w:rPr>
              <w:fldChar w:fldCharType="separate"/>
            </w:r>
            <w:r w:rsidR="0012240F">
              <w:rPr>
                <w:noProof/>
                <w:webHidden/>
              </w:rPr>
              <w:t>21</w:t>
            </w:r>
            <w:r w:rsidR="00E918EB">
              <w:rPr>
                <w:noProof/>
                <w:webHidden/>
              </w:rPr>
              <w:fldChar w:fldCharType="end"/>
            </w:r>
          </w:hyperlink>
        </w:p>
        <w:p w14:paraId="570B5594" w14:textId="4013F532" w:rsidR="00E918EB" w:rsidRDefault="0016765E">
          <w:pPr>
            <w:pStyle w:val="TOC3"/>
            <w:rPr>
              <w:noProof/>
              <w:lang w:eastAsia="en-AU"/>
            </w:rPr>
          </w:pPr>
          <w:hyperlink w:anchor="_Toc501621176" w:history="1">
            <w:r w:rsidR="00E918EB" w:rsidRPr="00FA3C2D">
              <w:rPr>
                <w:rStyle w:val="Hyperlink"/>
                <w:noProof/>
              </w:rPr>
              <w:t>4.1.3   Compliance action</w:t>
            </w:r>
            <w:r w:rsidR="00E918EB">
              <w:rPr>
                <w:noProof/>
                <w:webHidden/>
              </w:rPr>
              <w:tab/>
            </w:r>
            <w:r w:rsidR="00E918EB">
              <w:rPr>
                <w:noProof/>
                <w:webHidden/>
              </w:rPr>
              <w:fldChar w:fldCharType="begin"/>
            </w:r>
            <w:r w:rsidR="00E918EB">
              <w:rPr>
                <w:noProof/>
                <w:webHidden/>
              </w:rPr>
              <w:instrText xml:space="preserve"> PAGEREF _Toc501621176 \h </w:instrText>
            </w:r>
            <w:r w:rsidR="00E918EB">
              <w:rPr>
                <w:noProof/>
                <w:webHidden/>
              </w:rPr>
            </w:r>
            <w:r w:rsidR="00E918EB">
              <w:rPr>
                <w:noProof/>
                <w:webHidden/>
              </w:rPr>
              <w:fldChar w:fldCharType="separate"/>
            </w:r>
            <w:r w:rsidR="0012240F">
              <w:rPr>
                <w:noProof/>
                <w:webHidden/>
              </w:rPr>
              <w:t>21</w:t>
            </w:r>
            <w:r w:rsidR="00E918EB">
              <w:rPr>
                <w:noProof/>
                <w:webHidden/>
              </w:rPr>
              <w:fldChar w:fldCharType="end"/>
            </w:r>
          </w:hyperlink>
        </w:p>
        <w:p w14:paraId="68DF005B" w14:textId="4AD426A4" w:rsidR="00E918EB" w:rsidRDefault="0016765E">
          <w:pPr>
            <w:pStyle w:val="TOC3"/>
            <w:rPr>
              <w:noProof/>
              <w:lang w:eastAsia="en-AU"/>
            </w:rPr>
          </w:pPr>
          <w:hyperlink w:anchor="_Toc501621177" w:history="1">
            <w:r w:rsidR="00E918EB" w:rsidRPr="00FA3C2D">
              <w:rPr>
                <w:rStyle w:val="Hyperlink"/>
                <w:noProof/>
              </w:rPr>
              <w:t>4.1.4   Civil penalties and criminal offences</w:t>
            </w:r>
            <w:r w:rsidR="00E918EB">
              <w:rPr>
                <w:noProof/>
                <w:webHidden/>
              </w:rPr>
              <w:tab/>
            </w:r>
            <w:r w:rsidR="00E918EB">
              <w:rPr>
                <w:noProof/>
                <w:webHidden/>
              </w:rPr>
              <w:fldChar w:fldCharType="begin"/>
            </w:r>
            <w:r w:rsidR="00E918EB">
              <w:rPr>
                <w:noProof/>
                <w:webHidden/>
              </w:rPr>
              <w:instrText xml:space="preserve"> PAGEREF _Toc501621177 \h </w:instrText>
            </w:r>
            <w:r w:rsidR="00E918EB">
              <w:rPr>
                <w:noProof/>
                <w:webHidden/>
              </w:rPr>
            </w:r>
            <w:r w:rsidR="00E918EB">
              <w:rPr>
                <w:noProof/>
                <w:webHidden/>
              </w:rPr>
              <w:fldChar w:fldCharType="separate"/>
            </w:r>
            <w:r w:rsidR="0012240F">
              <w:rPr>
                <w:noProof/>
                <w:webHidden/>
              </w:rPr>
              <w:t>22</w:t>
            </w:r>
            <w:r w:rsidR="00E918EB">
              <w:rPr>
                <w:noProof/>
                <w:webHidden/>
              </w:rPr>
              <w:fldChar w:fldCharType="end"/>
            </w:r>
          </w:hyperlink>
        </w:p>
        <w:p w14:paraId="4E1D8AFC" w14:textId="41FEB879" w:rsidR="00E918EB" w:rsidRDefault="0016765E">
          <w:pPr>
            <w:pStyle w:val="TOC3"/>
            <w:rPr>
              <w:noProof/>
              <w:lang w:eastAsia="en-AU"/>
            </w:rPr>
          </w:pPr>
          <w:hyperlink w:anchor="_Toc501621178" w:history="1">
            <w:r w:rsidR="00E918EB" w:rsidRPr="00FA3C2D">
              <w:rPr>
                <w:rStyle w:val="Hyperlink"/>
                <w:noProof/>
              </w:rPr>
              <w:t>4.1.5   Personal liability for executive officers</w:t>
            </w:r>
            <w:r w:rsidR="00E918EB">
              <w:rPr>
                <w:noProof/>
                <w:webHidden/>
              </w:rPr>
              <w:tab/>
            </w:r>
            <w:r w:rsidR="00E918EB">
              <w:rPr>
                <w:noProof/>
                <w:webHidden/>
              </w:rPr>
              <w:fldChar w:fldCharType="begin"/>
            </w:r>
            <w:r w:rsidR="00E918EB">
              <w:rPr>
                <w:noProof/>
                <w:webHidden/>
              </w:rPr>
              <w:instrText xml:space="preserve"> PAGEREF _Toc501621178 \h </w:instrText>
            </w:r>
            <w:r w:rsidR="00E918EB">
              <w:rPr>
                <w:noProof/>
                <w:webHidden/>
              </w:rPr>
            </w:r>
            <w:r w:rsidR="00E918EB">
              <w:rPr>
                <w:noProof/>
                <w:webHidden/>
              </w:rPr>
              <w:fldChar w:fldCharType="separate"/>
            </w:r>
            <w:r w:rsidR="0012240F">
              <w:rPr>
                <w:noProof/>
                <w:webHidden/>
              </w:rPr>
              <w:t>22</w:t>
            </w:r>
            <w:r w:rsidR="00E918EB">
              <w:rPr>
                <w:noProof/>
                <w:webHidden/>
              </w:rPr>
              <w:fldChar w:fldCharType="end"/>
            </w:r>
          </w:hyperlink>
        </w:p>
        <w:p w14:paraId="5E69BCE9" w14:textId="16B08F1F" w:rsidR="00E918EB" w:rsidRDefault="0016765E">
          <w:pPr>
            <w:pStyle w:val="TOC2"/>
            <w:tabs>
              <w:tab w:val="left" w:pos="1100"/>
            </w:tabs>
            <w:rPr>
              <w:lang w:eastAsia="en-AU"/>
            </w:rPr>
          </w:pPr>
          <w:hyperlink w:anchor="_Toc501621179" w:history="1">
            <w:r w:rsidR="00E918EB" w:rsidRPr="00FA3C2D">
              <w:rPr>
                <w:rStyle w:val="Hyperlink"/>
                <w:rFonts w:eastAsia="Times New Roman"/>
              </w:rPr>
              <w:t>4.2</w:t>
            </w:r>
            <w:r w:rsidR="007E07E1">
              <w:rPr>
                <w:lang w:eastAsia="en-AU"/>
              </w:rPr>
              <w:t xml:space="preserve">  </w:t>
            </w:r>
            <w:r w:rsidR="00E918EB" w:rsidRPr="00FA3C2D">
              <w:rPr>
                <w:rStyle w:val="Hyperlink"/>
                <w:rFonts w:eastAsia="Times New Roman"/>
              </w:rPr>
              <w:t>Course provider requirements</w:t>
            </w:r>
            <w:r w:rsidR="00E918EB">
              <w:rPr>
                <w:webHidden/>
              </w:rPr>
              <w:tab/>
            </w:r>
            <w:r w:rsidR="00E918EB">
              <w:rPr>
                <w:webHidden/>
              </w:rPr>
              <w:fldChar w:fldCharType="begin"/>
            </w:r>
            <w:r w:rsidR="00E918EB">
              <w:rPr>
                <w:webHidden/>
              </w:rPr>
              <w:instrText xml:space="preserve"> PAGEREF _Toc501621179 \h </w:instrText>
            </w:r>
            <w:r w:rsidR="00E918EB">
              <w:rPr>
                <w:webHidden/>
              </w:rPr>
            </w:r>
            <w:r w:rsidR="00E918EB">
              <w:rPr>
                <w:webHidden/>
              </w:rPr>
              <w:fldChar w:fldCharType="separate"/>
            </w:r>
            <w:r w:rsidR="0012240F">
              <w:rPr>
                <w:webHidden/>
              </w:rPr>
              <w:t>23</w:t>
            </w:r>
            <w:r w:rsidR="00E918EB">
              <w:rPr>
                <w:webHidden/>
              </w:rPr>
              <w:fldChar w:fldCharType="end"/>
            </w:r>
          </w:hyperlink>
        </w:p>
        <w:p w14:paraId="19812EE8" w14:textId="45690AB7" w:rsidR="00E918EB" w:rsidRDefault="0016765E">
          <w:pPr>
            <w:pStyle w:val="TOC3"/>
            <w:rPr>
              <w:noProof/>
              <w:lang w:eastAsia="en-AU"/>
            </w:rPr>
          </w:pPr>
          <w:hyperlink w:anchor="_Toc501621180" w:history="1">
            <w:r w:rsidR="00E918EB" w:rsidRPr="00FA3C2D">
              <w:rPr>
                <w:rStyle w:val="Hyperlink"/>
                <w:noProof/>
              </w:rPr>
              <w:t>4.2.1</w:t>
            </w:r>
            <w:r w:rsidR="00E918EB">
              <w:rPr>
                <w:noProof/>
                <w:lang w:eastAsia="en-AU"/>
              </w:rPr>
              <w:tab/>
            </w:r>
            <w:r w:rsidR="00E918EB" w:rsidRPr="00FA3C2D">
              <w:rPr>
                <w:rStyle w:val="Hyperlink"/>
                <w:noProof/>
              </w:rPr>
              <w:t>Course provider requirements</w:t>
            </w:r>
            <w:r w:rsidR="00E918EB">
              <w:rPr>
                <w:noProof/>
                <w:webHidden/>
              </w:rPr>
              <w:tab/>
            </w:r>
            <w:r w:rsidR="00E918EB">
              <w:rPr>
                <w:noProof/>
                <w:webHidden/>
              </w:rPr>
              <w:fldChar w:fldCharType="begin"/>
            </w:r>
            <w:r w:rsidR="00E918EB">
              <w:rPr>
                <w:noProof/>
                <w:webHidden/>
              </w:rPr>
              <w:instrText xml:space="preserve"> PAGEREF _Toc501621180 \h </w:instrText>
            </w:r>
            <w:r w:rsidR="00E918EB">
              <w:rPr>
                <w:noProof/>
                <w:webHidden/>
              </w:rPr>
            </w:r>
            <w:r w:rsidR="00E918EB">
              <w:rPr>
                <w:noProof/>
                <w:webHidden/>
              </w:rPr>
              <w:fldChar w:fldCharType="separate"/>
            </w:r>
            <w:r w:rsidR="0012240F">
              <w:rPr>
                <w:noProof/>
                <w:webHidden/>
              </w:rPr>
              <w:t>23</w:t>
            </w:r>
            <w:r w:rsidR="00E918EB">
              <w:rPr>
                <w:noProof/>
                <w:webHidden/>
              </w:rPr>
              <w:fldChar w:fldCharType="end"/>
            </w:r>
          </w:hyperlink>
        </w:p>
        <w:p w14:paraId="0BF14237" w14:textId="72D73C08" w:rsidR="00E918EB" w:rsidRDefault="0016765E">
          <w:pPr>
            <w:pStyle w:val="TOC3"/>
            <w:rPr>
              <w:noProof/>
              <w:lang w:eastAsia="en-AU"/>
            </w:rPr>
          </w:pPr>
          <w:hyperlink w:anchor="_Toc501621181" w:history="1">
            <w:r w:rsidR="00E918EB" w:rsidRPr="00FA3C2D">
              <w:rPr>
                <w:rStyle w:val="Hyperlink"/>
                <w:noProof/>
              </w:rPr>
              <w:t>4.2.2</w:t>
            </w:r>
            <w:r w:rsidR="00E918EB">
              <w:rPr>
                <w:noProof/>
                <w:lang w:eastAsia="en-AU"/>
              </w:rPr>
              <w:tab/>
            </w:r>
            <w:r w:rsidR="00E918EB" w:rsidRPr="00FA3C2D">
              <w:rPr>
                <w:rStyle w:val="Hyperlink"/>
                <w:noProof/>
              </w:rPr>
              <w:t>Imposition of conditions</w:t>
            </w:r>
            <w:r w:rsidR="00E918EB">
              <w:rPr>
                <w:noProof/>
                <w:webHidden/>
              </w:rPr>
              <w:tab/>
            </w:r>
            <w:r w:rsidR="00E918EB">
              <w:rPr>
                <w:noProof/>
                <w:webHidden/>
              </w:rPr>
              <w:fldChar w:fldCharType="begin"/>
            </w:r>
            <w:r w:rsidR="00E918EB">
              <w:rPr>
                <w:noProof/>
                <w:webHidden/>
              </w:rPr>
              <w:instrText xml:space="preserve"> PAGEREF _Toc501621181 \h </w:instrText>
            </w:r>
            <w:r w:rsidR="00E918EB">
              <w:rPr>
                <w:noProof/>
                <w:webHidden/>
              </w:rPr>
            </w:r>
            <w:r w:rsidR="00E918EB">
              <w:rPr>
                <w:noProof/>
                <w:webHidden/>
              </w:rPr>
              <w:fldChar w:fldCharType="separate"/>
            </w:r>
            <w:r w:rsidR="0012240F">
              <w:rPr>
                <w:noProof/>
                <w:webHidden/>
              </w:rPr>
              <w:t>23</w:t>
            </w:r>
            <w:r w:rsidR="00E918EB">
              <w:rPr>
                <w:noProof/>
                <w:webHidden/>
              </w:rPr>
              <w:fldChar w:fldCharType="end"/>
            </w:r>
          </w:hyperlink>
        </w:p>
        <w:p w14:paraId="4185F9D8" w14:textId="5DA04EC0" w:rsidR="00E918EB" w:rsidRDefault="0016765E">
          <w:pPr>
            <w:pStyle w:val="TOC3"/>
            <w:rPr>
              <w:noProof/>
              <w:lang w:eastAsia="en-AU"/>
            </w:rPr>
          </w:pPr>
          <w:hyperlink w:anchor="_Toc501621182" w:history="1">
            <w:r w:rsidR="00E918EB" w:rsidRPr="00FA3C2D">
              <w:rPr>
                <w:rStyle w:val="Hyperlink"/>
                <w:noProof/>
              </w:rPr>
              <w:t>4.2.3</w:t>
            </w:r>
            <w:r w:rsidR="00E918EB">
              <w:rPr>
                <w:noProof/>
                <w:lang w:eastAsia="en-AU"/>
              </w:rPr>
              <w:tab/>
            </w:r>
            <w:r w:rsidR="00E918EB" w:rsidRPr="00FA3C2D">
              <w:rPr>
                <w:rStyle w:val="Hyperlink"/>
                <w:noProof/>
              </w:rPr>
              <w:t>Provider suitability requirements</w:t>
            </w:r>
            <w:r w:rsidR="00E918EB">
              <w:rPr>
                <w:noProof/>
                <w:webHidden/>
              </w:rPr>
              <w:tab/>
            </w:r>
            <w:r w:rsidR="00E918EB">
              <w:rPr>
                <w:noProof/>
                <w:webHidden/>
              </w:rPr>
              <w:fldChar w:fldCharType="begin"/>
            </w:r>
            <w:r w:rsidR="00E918EB">
              <w:rPr>
                <w:noProof/>
                <w:webHidden/>
              </w:rPr>
              <w:instrText xml:space="preserve"> PAGEREF _Toc501621182 \h </w:instrText>
            </w:r>
            <w:r w:rsidR="00E918EB">
              <w:rPr>
                <w:noProof/>
                <w:webHidden/>
              </w:rPr>
            </w:r>
            <w:r w:rsidR="00E918EB">
              <w:rPr>
                <w:noProof/>
                <w:webHidden/>
              </w:rPr>
              <w:fldChar w:fldCharType="separate"/>
            </w:r>
            <w:r w:rsidR="0012240F">
              <w:rPr>
                <w:noProof/>
                <w:webHidden/>
              </w:rPr>
              <w:t>24</w:t>
            </w:r>
            <w:r w:rsidR="00E918EB">
              <w:rPr>
                <w:noProof/>
                <w:webHidden/>
              </w:rPr>
              <w:fldChar w:fldCharType="end"/>
            </w:r>
          </w:hyperlink>
        </w:p>
        <w:p w14:paraId="4BCEA058" w14:textId="36C80296" w:rsidR="00E918EB" w:rsidRDefault="0016765E">
          <w:pPr>
            <w:pStyle w:val="TOC3"/>
            <w:rPr>
              <w:noProof/>
              <w:lang w:eastAsia="en-AU"/>
            </w:rPr>
          </w:pPr>
          <w:hyperlink w:anchor="_Toc501621183" w:history="1">
            <w:r w:rsidR="00E918EB" w:rsidRPr="00FA3C2D">
              <w:rPr>
                <w:rStyle w:val="Hyperlink"/>
                <w:noProof/>
              </w:rPr>
              <w:t>4.2.3.1</w:t>
            </w:r>
            <w:r w:rsidR="00E918EB">
              <w:rPr>
                <w:noProof/>
                <w:lang w:eastAsia="en-AU"/>
              </w:rPr>
              <w:tab/>
            </w:r>
            <w:r w:rsidR="00E918EB" w:rsidRPr="00FA3C2D">
              <w:rPr>
                <w:rStyle w:val="Hyperlink"/>
                <w:noProof/>
              </w:rPr>
              <w:t>General requirements</w:t>
            </w:r>
            <w:r w:rsidR="00E918EB">
              <w:rPr>
                <w:noProof/>
                <w:webHidden/>
              </w:rPr>
              <w:tab/>
            </w:r>
            <w:r w:rsidR="00E918EB">
              <w:rPr>
                <w:noProof/>
                <w:webHidden/>
              </w:rPr>
              <w:fldChar w:fldCharType="begin"/>
            </w:r>
            <w:r w:rsidR="00E918EB">
              <w:rPr>
                <w:noProof/>
                <w:webHidden/>
              </w:rPr>
              <w:instrText xml:space="preserve"> PAGEREF _Toc501621183 \h </w:instrText>
            </w:r>
            <w:r w:rsidR="00E918EB">
              <w:rPr>
                <w:noProof/>
                <w:webHidden/>
              </w:rPr>
            </w:r>
            <w:r w:rsidR="00E918EB">
              <w:rPr>
                <w:noProof/>
                <w:webHidden/>
              </w:rPr>
              <w:fldChar w:fldCharType="separate"/>
            </w:r>
            <w:r w:rsidR="0012240F">
              <w:rPr>
                <w:noProof/>
                <w:webHidden/>
              </w:rPr>
              <w:t>24</w:t>
            </w:r>
            <w:r w:rsidR="00E918EB">
              <w:rPr>
                <w:noProof/>
                <w:webHidden/>
              </w:rPr>
              <w:fldChar w:fldCharType="end"/>
            </w:r>
          </w:hyperlink>
        </w:p>
        <w:p w14:paraId="50EA37BE" w14:textId="5F6F0A1C" w:rsidR="00E918EB" w:rsidRDefault="0016765E">
          <w:pPr>
            <w:pStyle w:val="TOC3"/>
            <w:rPr>
              <w:noProof/>
              <w:lang w:eastAsia="en-AU"/>
            </w:rPr>
          </w:pPr>
          <w:hyperlink w:anchor="_Toc501621184" w:history="1">
            <w:r w:rsidR="00E918EB" w:rsidRPr="00FA3C2D">
              <w:rPr>
                <w:rStyle w:val="Hyperlink"/>
                <w:noProof/>
              </w:rPr>
              <w:t>4.2.3.2</w:t>
            </w:r>
            <w:r w:rsidR="00E918EB">
              <w:rPr>
                <w:noProof/>
                <w:lang w:eastAsia="en-AU"/>
              </w:rPr>
              <w:tab/>
            </w:r>
            <w:r w:rsidR="00E918EB" w:rsidRPr="00FA3C2D">
              <w:rPr>
                <w:rStyle w:val="Hyperlink"/>
                <w:noProof/>
              </w:rPr>
              <w:t>Financial performance</w:t>
            </w:r>
            <w:r w:rsidR="00E918EB">
              <w:rPr>
                <w:noProof/>
                <w:webHidden/>
              </w:rPr>
              <w:tab/>
            </w:r>
            <w:r w:rsidR="00E918EB">
              <w:rPr>
                <w:noProof/>
                <w:webHidden/>
              </w:rPr>
              <w:fldChar w:fldCharType="begin"/>
            </w:r>
            <w:r w:rsidR="00E918EB">
              <w:rPr>
                <w:noProof/>
                <w:webHidden/>
              </w:rPr>
              <w:instrText xml:space="preserve"> PAGEREF _Toc501621184 \h </w:instrText>
            </w:r>
            <w:r w:rsidR="00E918EB">
              <w:rPr>
                <w:noProof/>
                <w:webHidden/>
              </w:rPr>
            </w:r>
            <w:r w:rsidR="00E918EB">
              <w:rPr>
                <w:noProof/>
                <w:webHidden/>
              </w:rPr>
              <w:fldChar w:fldCharType="separate"/>
            </w:r>
            <w:r w:rsidR="0012240F">
              <w:rPr>
                <w:noProof/>
                <w:webHidden/>
              </w:rPr>
              <w:t>24</w:t>
            </w:r>
            <w:r w:rsidR="00E918EB">
              <w:rPr>
                <w:noProof/>
                <w:webHidden/>
              </w:rPr>
              <w:fldChar w:fldCharType="end"/>
            </w:r>
          </w:hyperlink>
        </w:p>
        <w:p w14:paraId="446963D1" w14:textId="5A15728A" w:rsidR="00E918EB" w:rsidRDefault="0016765E">
          <w:pPr>
            <w:pStyle w:val="TOC3"/>
            <w:rPr>
              <w:noProof/>
              <w:lang w:eastAsia="en-AU"/>
            </w:rPr>
          </w:pPr>
          <w:hyperlink w:anchor="_Toc501621185" w:history="1">
            <w:r w:rsidR="00E918EB" w:rsidRPr="00FA3C2D">
              <w:rPr>
                <w:rStyle w:val="Hyperlink"/>
                <w:noProof/>
              </w:rPr>
              <w:t>4.2.3.3</w:t>
            </w:r>
            <w:r w:rsidR="00E918EB">
              <w:rPr>
                <w:noProof/>
                <w:lang w:eastAsia="en-AU"/>
              </w:rPr>
              <w:tab/>
            </w:r>
            <w:r w:rsidR="00E918EB" w:rsidRPr="00FA3C2D">
              <w:rPr>
                <w:rStyle w:val="Hyperlink"/>
                <w:noProof/>
              </w:rPr>
              <w:t>Management and governance</w:t>
            </w:r>
            <w:r w:rsidR="00E918EB">
              <w:rPr>
                <w:noProof/>
                <w:webHidden/>
              </w:rPr>
              <w:tab/>
            </w:r>
            <w:r w:rsidR="00E918EB">
              <w:rPr>
                <w:noProof/>
                <w:webHidden/>
              </w:rPr>
              <w:fldChar w:fldCharType="begin"/>
            </w:r>
            <w:r w:rsidR="00E918EB">
              <w:rPr>
                <w:noProof/>
                <w:webHidden/>
              </w:rPr>
              <w:instrText xml:space="preserve"> PAGEREF _Toc501621185 \h </w:instrText>
            </w:r>
            <w:r w:rsidR="00E918EB">
              <w:rPr>
                <w:noProof/>
                <w:webHidden/>
              </w:rPr>
            </w:r>
            <w:r w:rsidR="00E918EB">
              <w:rPr>
                <w:noProof/>
                <w:webHidden/>
              </w:rPr>
              <w:fldChar w:fldCharType="separate"/>
            </w:r>
            <w:r w:rsidR="0012240F">
              <w:rPr>
                <w:noProof/>
                <w:webHidden/>
              </w:rPr>
              <w:t>25</w:t>
            </w:r>
            <w:r w:rsidR="00E918EB">
              <w:rPr>
                <w:noProof/>
                <w:webHidden/>
              </w:rPr>
              <w:fldChar w:fldCharType="end"/>
            </w:r>
          </w:hyperlink>
        </w:p>
        <w:p w14:paraId="1A272311" w14:textId="11C068B9" w:rsidR="00E918EB" w:rsidRDefault="0016765E">
          <w:pPr>
            <w:pStyle w:val="TOC3"/>
            <w:rPr>
              <w:noProof/>
              <w:lang w:eastAsia="en-AU"/>
            </w:rPr>
          </w:pPr>
          <w:hyperlink w:anchor="_Toc501621186" w:history="1">
            <w:r w:rsidR="00E918EB" w:rsidRPr="00FA3C2D">
              <w:rPr>
                <w:rStyle w:val="Hyperlink"/>
                <w:noProof/>
              </w:rPr>
              <w:t>4.2.3.4</w:t>
            </w:r>
            <w:r w:rsidR="00E918EB">
              <w:rPr>
                <w:noProof/>
                <w:lang w:eastAsia="en-AU"/>
              </w:rPr>
              <w:tab/>
            </w:r>
            <w:r w:rsidR="00E918EB" w:rsidRPr="00FA3C2D">
              <w:rPr>
                <w:rStyle w:val="Hyperlink"/>
                <w:noProof/>
              </w:rPr>
              <w:t>Experience and course offerings</w:t>
            </w:r>
            <w:r w:rsidR="00E918EB">
              <w:rPr>
                <w:noProof/>
                <w:webHidden/>
              </w:rPr>
              <w:tab/>
            </w:r>
            <w:r w:rsidR="00E918EB">
              <w:rPr>
                <w:noProof/>
                <w:webHidden/>
              </w:rPr>
              <w:fldChar w:fldCharType="begin"/>
            </w:r>
            <w:r w:rsidR="00E918EB">
              <w:rPr>
                <w:noProof/>
                <w:webHidden/>
              </w:rPr>
              <w:instrText xml:space="preserve"> PAGEREF _Toc501621186 \h </w:instrText>
            </w:r>
            <w:r w:rsidR="00E918EB">
              <w:rPr>
                <w:noProof/>
                <w:webHidden/>
              </w:rPr>
            </w:r>
            <w:r w:rsidR="00E918EB">
              <w:rPr>
                <w:noProof/>
                <w:webHidden/>
              </w:rPr>
              <w:fldChar w:fldCharType="separate"/>
            </w:r>
            <w:r w:rsidR="0012240F">
              <w:rPr>
                <w:noProof/>
                <w:webHidden/>
              </w:rPr>
              <w:t>26</w:t>
            </w:r>
            <w:r w:rsidR="00E918EB">
              <w:rPr>
                <w:noProof/>
                <w:webHidden/>
              </w:rPr>
              <w:fldChar w:fldCharType="end"/>
            </w:r>
          </w:hyperlink>
        </w:p>
        <w:p w14:paraId="6A790A5B" w14:textId="0E3389B0" w:rsidR="00E918EB" w:rsidRDefault="0016765E">
          <w:pPr>
            <w:pStyle w:val="TOC3"/>
            <w:rPr>
              <w:noProof/>
              <w:lang w:eastAsia="en-AU"/>
            </w:rPr>
          </w:pPr>
          <w:hyperlink w:anchor="_Toc501621187" w:history="1">
            <w:r w:rsidR="00E918EB" w:rsidRPr="00FA3C2D">
              <w:rPr>
                <w:rStyle w:val="Hyperlink"/>
                <w:noProof/>
              </w:rPr>
              <w:t>4.2.3.5</w:t>
            </w:r>
            <w:r w:rsidR="00E918EB">
              <w:rPr>
                <w:noProof/>
                <w:lang w:eastAsia="en-AU"/>
              </w:rPr>
              <w:tab/>
            </w:r>
            <w:r w:rsidR="00E918EB" w:rsidRPr="00FA3C2D">
              <w:rPr>
                <w:rStyle w:val="Hyperlink"/>
                <w:noProof/>
              </w:rPr>
              <w:t>Student outcomes and workplace relevance</w:t>
            </w:r>
            <w:r w:rsidR="00E918EB">
              <w:rPr>
                <w:noProof/>
                <w:webHidden/>
              </w:rPr>
              <w:tab/>
            </w:r>
            <w:r w:rsidR="00E918EB">
              <w:rPr>
                <w:noProof/>
                <w:webHidden/>
              </w:rPr>
              <w:fldChar w:fldCharType="begin"/>
            </w:r>
            <w:r w:rsidR="00E918EB">
              <w:rPr>
                <w:noProof/>
                <w:webHidden/>
              </w:rPr>
              <w:instrText xml:space="preserve"> PAGEREF _Toc501621187 \h </w:instrText>
            </w:r>
            <w:r w:rsidR="00E918EB">
              <w:rPr>
                <w:noProof/>
                <w:webHidden/>
              </w:rPr>
            </w:r>
            <w:r w:rsidR="00E918EB">
              <w:rPr>
                <w:noProof/>
                <w:webHidden/>
              </w:rPr>
              <w:fldChar w:fldCharType="separate"/>
            </w:r>
            <w:r w:rsidR="0012240F">
              <w:rPr>
                <w:noProof/>
                <w:webHidden/>
              </w:rPr>
              <w:t>27</w:t>
            </w:r>
            <w:r w:rsidR="00E918EB">
              <w:rPr>
                <w:noProof/>
                <w:webHidden/>
              </w:rPr>
              <w:fldChar w:fldCharType="end"/>
            </w:r>
          </w:hyperlink>
        </w:p>
        <w:p w14:paraId="408F3454" w14:textId="30DB73BD" w:rsidR="00E918EB" w:rsidRDefault="0016765E">
          <w:pPr>
            <w:pStyle w:val="TOC3"/>
            <w:rPr>
              <w:noProof/>
              <w:lang w:eastAsia="en-AU"/>
            </w:rPr>
          </w:pPr>
          <w:hyperlink w:anchor="_Toc501621188" w:history="1">
            <w:r w:rsidR="00E918EB" w:rsidRPr="00FA3C2D">
              <w:rPr>
                <w:rStyle w:val="Hyperlink"/>
                <w:noProof/>
              </w:rPr>
              <w:t>4.2.3.6</w:t>
            </w:r>
            <w:r w:rsidR="00E918EB">
              <w:rPr>
                <w:noProof/>
                <w:lang w:eastAsia="en-AU"/>
              </w:rPr>
              <w:tab/>
            </w:r>
            <w:r w:rsidR="00E918EB" w:rsidRPr="00FA3C2D">
              <w:rPr>
                <w:rStyle w:val="Hyperlink"/>
                <w:noProof/>
              </w:rPr>
              <w:t>Fit and proper person</w:t>
            </w:r>
            <w:r w:rsidR="00E918EB">
              <w:rPr>
                <w:noProof/>
                <w:webHidden/>
              </w:rPr>
              <w:tab/>
            </w:r>
            <w:r w:rsidR="00E918EB">
              <w:rPr>
                <w:noProof/>
                <w:webHidden/>
              </w:rPr>
              <w:fldChar w:fldCharType="begin"/>
            </w:r>
            <w:r w:rsidR="00E918EB">
              <w:rPr>
                <w:noProof/>
                <w:webHidden/>
              </w:rPr>
              <w:instrText xml:space="preserve"> PAGEREF _Toc501621188 \h </w:instrText>
            </w:r>
            <w:r w:rsidR="00E918EB">
              <w:rPr>
                <w:noProof/>
                <w:webHidden/>
              </w:rPr>
            </w:r>
            <w:r w:rsidR="00E918EB">
              <w:rPr>
                <w:noProof/>
                <w:webHidden/>
              </w:rPr>
              <w:fldChar w:fldCharType="separate"/>
            </w:r>
            <w:r w:rsidR="0012240F">
              <w:rPr>
                <w:noProof/>
                <w:webHidden/>
              </w:rPr>
              <w:t>27</w:t>
            </w:r>
            <w:r w:rsidR="00E918EB">
              <w:rPr>
                <w:noProof/>
                <w:webHidden/>
              </w:rPr>
              <w:fldChar w:fldCharType="end"/>
            </w:r>
          </w:hyperlink>
        </w:p>
        <w:p w14:paraId="50D74A3D" w14:textId="6DB239DA" w:rsidR="00E918EB" w:rsidRDefault="0016765E">
          <w:pPr>
            <w:pStyle w:val="TOC2"/>
            <w:tabs>
              <w:tab w:val="left" w:pos="1100"/>
            </w:tabs>
            <w:rPr>
              <w:lang w:eastAsia="en-AU"/>
            </w:rPr>
          </w:pPr>
          <w:hyperlink w:anchor="_Toc501621189" w:history="1">
            <w:r w:rsidR="00E918EB" w:rsidRPr="00FA3C2D">
              <w:rPr>
                <w:rStyle w:val="Hyperlink"/>
                <w:rFonts w:eastAsia="Times New Roman"/>
              </w:rPr>
              <w:t>4.3</w:t>
            </w:r>
            <w:r w:rsidR="007E07E1">
              <w:rPr>
                <w:lang w:eastAsia="en-AU"/>
              </w:rPr>
              <w:t xml:space="preserve">  </w:t>
            </w:r>
            <w:r w:rsidR="00E918EB" w:rsidRPr="00FA3C2D">
              <w:rPr>
                <w:rStyle w:val="Hyperlink"/>
                <w:rFonts w:eastAsia="Times New Roman"/>
              </w:rPr>
              <w:t>Tuition assurance</w:t>
            </w:r>
            <w:r w:rsidR="00E918EB">
              <w:rPr>
                <w:webHidden/>
              </w:rPr>
              <w:tab/>
            </w:r>
            <w:r w:rsidR="00E918EB">
              <w:rPr>
                <w:webHidden/>
              </w:rPr>
              <w:fldChar w:fldCharType="begin"/>
            </w:r>
            <w:r w:rsidR="00E918EB">
              <w:rPr>
                <w:webHidden/>
              </w:rPr>
              <w:instrText xml:space="preserve"> PAGEREF _Toc501621189 \h </w:instrText>
            </w:r>
            <w:r w:rsidR="00E918EB">
              <w:rPr>
                <w:webHidden/>
              </w:rPr>
            </w:r>
            <w:r w:rsidR="00E918EB">
              <w:rPr>
                <w:webHidden/>
              </w:rPr>
              <w:fldChar w:fldCharType="separate"/>
            </w:r>
            <w:r w:rsidR="0012240F">
              <w:rPr>
                <w:webHidden/>
              </w:rPr>
              <w:t>28</w:t>
            </w:r>
            <w:r w:rsidR="00E918EB">
              <w:rPr>
                <w:webHidden/>
              </w:rPr>
              <w:fldChar w:fldCharType="end"/>
            </w:r>
          </w:hyperlink>
        </w:p>
        <w:p w14:paraId="6E47EA30" w14:textId="7DFE39F2" w:rsidR="00E918EB" w:rsidRDefault="0016765E">
          <w:pPr>
            <w:pStyle w:val="TOC2"/>
            <w:tabs>
              <w:tab w:val="left" w:pos="1100"/>
            </w:tabs>
            <w:rPr>
              <w:lang w:eastAsia="en-AU"/>
            </w:rPr>
          </w:pPr>
          <w:hyperlink w:anchor="_Toc501621190" w:history="1">
            <w:r w:rsidR="00E918EB" w:rsidRPr="00FA3C2D">
              <w:rPr>
                <w:rStyle w:val="Hyperlink"/>
                <w:rFonts w:eastAsia="Times New Roman"/>
              </w:rPr>
              <w:t>4.4</w:t>
            </w:r>
            <w:r w:rsidR="007E07E1">
              <w:rPr>
                <w:rStyle w:val="Hyperlink"/>
                <w:rFonts w:eastAsia="Times New Roman"/>
              </w:rPr>
              <w:t xml:space="preserve">  </w:t>
            </w:r>
            <w:r w:rsidR="00E918EB" w:rsidRPr="00FA3C2D">
              <w:rPr>
                <w:rStyle w:val="Hyperlink"/>
                <w:rFonts w:eastAsia="Times New Roman"/>
              </w:rPr>
              <w:t>Ongoing information requirements</w:t>
            </w:r>
            <w:r w:rsidR="00E918EB">
              <w:rPr>
                <w:webHidden/>
              </w:rPr>
              <w:tab/>
            </w:r>
            <w:r w:rsidR="00E918EB">
              <w:rPr>
                <w:webHidden/>
              </w:rPr>
              <w:fldChar w:fldCharType="begin"/>
            </w:r>
            <w:r w:rsidR="00E918EB">
              <w:rPr>
                <w:webHidden/>
              </w:rPr>
              <w:instrText xml:space="preserve"> PAGEREF _Toc501621190 \h </w:instrText>
            </w:r>
            <w:r w:rsidR="00E918EB">
              <w:rPr>
                <w:webHidden/>
              </w:rPr>
            </w:r>
            <w:r w:rsidR="00E918EB">
              <w:rPr>
                <w:webHidden/>
              </w:rPr>
              <w:fldChar w:fldCharType="separate"/>
            </w:r>
            <w:r w:rsidR="0012240F">
              <w:rPr>
                <w:webHidden/>
              </w:rPr>
              <w:t>28</w:t>
            </w:r>
            <w:r w:rsidR="00E918EB">
              <w:rPr>
                <w:webHidden/>
              </w:rPr>
              <w:fldChar w:fldCharType="end"/>
            </w:r>
          </w:hyperlink>
        </w:p>
        <w:p w14:paraId="57F02015" w14:textId="4B029EC5" w:rsidR="00E918EB" w:rsidRDefault="0016765E">
          <w:pPr>
            <w:pStyle w:val="TOC3"/>
            <w:rPr>
              <w:noProof/>
              <w:lang w:eastAsia="en-AU"/>
            </w:rPr>
          </w:pPr>
          <w:hyperlink w:anchor="_Toc501621191" w:history="1">
            <w:r w:rsidR="00E918EB" w:rsidRPr="00FA3C2D">
              <w:rPr>
                <w:rStyle w:val="Hyperlink"/>
                <w:noProof/>
              </w:rPr>
              <w:t>4.4.1</w:t>
            </w:r>
            <w:r w:rsidR="00E918EB">
              <w:rPr>
                <w:noProof/>
                <w:lang w:eastAsia="en-AU"/>
              </w:rPr>
              <w:tab/>
            </w:r>
            <w:r w:rsidR="00E918EB" w:rsidRPr="00FA3C2D">
              <w:rPr>
                <w:rStyle w:val="Hyperlink"/>
                <w:noProof/>
              </w:rPr>
              <w:t>Notice of events</w:t>
            </w:r>
            <w:r w:rsidR="00E918EB">
              <w:rPr>
                <w:noProof/>
                <w:webHidden/>
              </w:rPr>
              <w:tab/>
            </w:r>
            <w:r w:rsidR="00E918EB">
              <w:rPr>
                <w:noProof/>
                <w:webHidden/>
              </w:rPr>
              <w:fldChar w:fldCharType="begin"/>
            </w:r>
            <w:r w:rsidR="00E918EB">
              <w:rPr>
                <w:noProof/>
                <w:webHidden/>
              </w:rPr>
              <w:instrText xml:space="preserve"> PAGEREF _Toc501621191 \h </w:instrText>
            </w:r>
            <w:r w:rsidR="00E918EB">
              <w:rPr>
                <w:noProof/>
                <w:webHidden/>
              </w:rPr>
            </w:r>
            <w:r w:rsidR="00E918EB">
              <w:rPr>
                <w:noProof/>
                <w:webHidden/>
              </w:rPr>
              <w:fldChar w:fldCharType="separate"/>
            </w:r>
            <w:r w:rsidR="0012240F">
              <w:rPr>
                <w:noProof/>
                <w:webHidden/>
              </w:rPr>
              <w:t>28</w:t>
            </w:r>
            <w:r w:rsidR="00E918EB">
              <w:rPr>
                <w:noProof/>
                <w:webHidden/>
              </w:rPr>
              <w:fldChar w:fldCharType="end"/>
            </w:r>
          </w:hyperlink>
        </w:p>
        <w:p w14:paraId="320BAE28" w14:textId="7AA7E8EE" w:rsidR="00E918EB" w:rsidRDefault="0016765E">
          <w:pPr>
            <w:pStyle w:val="TOC3"/>
            <w:rPr>
              <w:noProof/>
              <w:lang w:eastAsia="en-AU"/>
            </w:rPr>
          </w:pPr>
          <w:hyperlink w:anchor="_Toc501621192" w:history="1">
            <w:r w:rsidR="00E918EB" w:rsidRPr="00FA3C2D">
              <w:rPr>
                <w:rStyle w:val="Hyperlink"/>
                <w:noProof/>
              </w:rPr>
              <w:t>4.4.2</w:t>
            </w:r>
            <w:r w:rsidR="00E918EB">
              <w:rPr>
                <w:noProof/>
                <w:lang w:eastAsia="en-AU"/>
              </w:rPr>
              <w:tab/>
            </w:r>
            <w:r w:rsidR="00E918EB" w:rsidRPr="00FA3C2D">
              <w:rPr>
                <w:rStyle w:val="Hyperlink"/>
                <w:noProof/>
              </w:rPr>
              <w:t>Other events</w:t>
            </w:r>
            <w:r w:rsidR="00E918EB">
              <w:rPr>
                <w:noProof/>
                <w:webHidden/>
              </w:rPr>
              <w:tab/>
            </w:r>
            <w:r w:rsidR="00E918EB">
              <w:rPr>
                <w:noProof/>
                <w:webHidden/>
              </w:rPr>
              <w:fldChar w:fldCharType="begin"/>
            </w:r>
            <w:r w:rsidR="00E918EB">
              <w:rPr>
                <w:noProof/>
                <w:webHidden/>
              </w:rPr>
              <w:instrText xml:space="preserve"> PAGEREF _Toc501621192 \h </w:instrText>
            </w:r>
            <w:r w:rsidR="00E918EB">
              <w:rPr>
                <w:noProof/>
                <w:webHidden/>
              </w:rPr>
            </w:r>
            <w:r w:rsidR="00E918EB">
              <w:rPr>
                <w:noProof/>
                <w:webHidden/>
              </w:rPr>
              <w:fldChar w:fldCharType="separate"/>
            </w:r>
            <w:r w:rsidR="0012240F">
              <w:rPr>
                <w:noProof/>
                <w:webHidden/>
              </w:rPr>
              <w:t>29</w:t>
            </w:r>
            <w:r w:rsidR="00E918EB">
              <w:rPr>
                <w:noProof/>
                <w:webHidden/>
              </w:rPr>
              <w:fldChar w:fldCharType="end"/>
            </w:r>
          </w:hyperlink>
        </w:p>
        <w:p w14:paraId="0524F6EC" w14:textId="11BCEF0B" w:rsidR="00E918EB" w:rsidRDefault="0016765E">
          <w:pPr>
            <w:pStyle w:val="TOC3"/>
            <w:rPr>
              <w:noProof/>
              <w:lang w:eastAsia="en-AU"/>
            </w:rPr>
          </w:pPr>
          <w:hyperlink w:anchor="_Toc501621193" w:history="1">
            <w:r w:rsidR="00E918EB" w:rsidRPr="00FA3C2D">
              <w:rPr>
                <w:rStyle w:val="Hyperlink"/>
                <w:noProof/>
              </w:rPr>
              <w:t>4.4.3   Information regarding displaced students</w:t>
            </w:r>
            <w:r w:rsidR="00E918EB">
              <w:rPr>
                <w:noProof/>
                <w:webHidden/>
              </w:rPr>
              <w:tab/>
            </w:r>
            <w:r w:rsidR="00E918EB">
              <w:rPr>
                <w:noProof/>
                <w:webHidden/>
              </w:rPr>
              <w:fldChar w:fldCharType="begin"/>
            </w:r>
            <w:r w:rsidR="00E918EB">
              <w:rPr>
                <w:noProof/>
                <w:webHidden/>
              </w:rPr>
              <w:instrText xml:space="preserve"> PAGEREF _Toc501621193 \h </w:instrText>
            </w:r>
            <w:r w:rsidR="00E918EB">
              <w:rPr>
                <w:noProof/>
                <w:webHidden/>
              </w:rPr>
            </w:r>
            <w:r w:rsidR="00E918EB">
              <w:rPr>
                <w:noProof/>
                <w:webHidden/>
              </w:rPr>
              <w:fldChar w:fldCharType="separate"/>
            </w:r>
            <w:r w:rsidR="0012240F">
              <w:rPr>
                <w:noProof/>
                <w:webHidden/>
              </w:rPr>
              <w:t>30</w:t>
            </w:r>
            <w:r w:rsidR="00E918EB">
              <w:rPr>
                <w:noProof/>
                <w:webHidden/>
              </w:rPr>
              <w:fldChar w:fldCharType="end"/>
            </w:r>
          </w:hyperlink>
        </w:p>
        <w:p w14:paraId="76216CA9" w14:textId="4A2DDCF3" w:rsidR="00E918EB" w:rsidRDefault="0016765E">
          <w:pPr>
            <w:pStyle w:val="TOC3"/>
            <w:rPr>
              <w:noProof/>
              <w:lang w:eastAsia="en-AU"/>
            </w:rPr>
          </w:pPr>
          <w:hyperlink w:anchor="_Toc501621194" w:history="1">
            <w:r w:rsidR="00E918EB" w:rsidRPr="00FA3C2D">
              <w:rPr>
                <w:rStyle w:val="Hyperlink"/>
                <w:noProof/>
              </w:rPr>
              <w:t>4.4.4   Annual financial statements</w:t>
            </w:r>
            <w:r w:rsidR="00E918EB">
              <w:rPr>
                <w:noProof/>
                <w:webHidden/>
              </w:rPr>
              <w:tab/>
            </w:r>
            <w:r w:rsidR="00E918EB">
              <w:rPr>
                <w:noProof/>
                <w:webHidden/>
              </w:rPr>
              <w:fldChar w:fldCharType="begin"/>
            </w:r>
            <w:r w:rsidR="00E918EB">
              <w:rPr>
                <w:noProof/>
                <w:webHidden/>
              </w:rPr>
              <w:instrText xml:space="preserve"> PAGEREF _Toc501621194 \h </w:instrText>
            </w:r>
            <w:r w:rsidR="00E918EB">
              <w:rPr>
                <w:noProof/>
                <w:webHidden/>
              </w:rPr>
            </w:r>
            <w:r w:rsidR="00E918EB">
              <w:rPr>
                <w:noProof/>
                <w:webHidden/>
              </w:rPr>
              <w:fldChar w:fldCharType="separate"/>
            </w:r>
            <w:r w:rsidR="0012240F">
              <w:rPr>
                <w:noProof/>
                <w:webHidden/>
              </w:rPr>
              <w:t>30</w:t>
            </w:r>
            <w:r w:rsidR="00E918EB">
              <w:rPr>
                <w:noProof/>
                <w:webHidden/>
              </w:rPr>
              <w:fldChar w:fldCharType="end"/>
            </w:r>
          </w:hyperlink>
        </w:p>
        <w:p w14:paraId="7B5280AF" w14:textId="09CA5D15" w:rsidR="00E918EB" w:rsidRDefault="0016765E">
          <w:pPr>
            <w:pStyle w:val="TOC3"/>
            <w:rPr>
              <w:noProof/>
              <w:lang w:eastAsia="en-AU"/>
            </w:rPr>
          </w:pPr>
          <w:hyperlink w:anchor="_Toc501621195" w:history="1">
            <w:r w:rsidR="00E918EB" w:rsidRPr="00FA3C2D">
              <w:rPr>
                <w:rStyle w:val="Hyperlink"/>
                <w:noProof/>
              </w:rPr>
              <w:t>4.4.5   Copies of notices given to other regulators</w:t>
            </w:r>
            <w:r w:rsidR="00E918EB">
              <w:rPr>
                <w:noProof/>
                <w:webHidden/>
              </w:rPr>
              <w:tab/>
            </w:r>
            <w:r w:rsidR="00E918EB">
              <w:rPr>
                <w:noProof/>
                <w:webHidden/>
              </w:rPr>
              <w:fldChar w:fldCharType="begin"/>
            </w:r>
            <w:r w:rsidR="00E918EB">
              <w:rPr>
                <w:noProof/>
                <w:webHidden/>
              </w:rPr>
              <w:instrText xml:space="preserve"> PAGEREF _Toc501621195 \h </w:instrText>
            </w:r>
            <w:r w:rsidR="00E918EB">
              <w:rPr>
                <w:noProof/>
                <w:webHidden/>
              </w:rPr>
            </w:r>
            <w:r w:rsidR="00E918EB">
              <w:rPr>
                <w:noProof/>
                <w:webHidden/>
              </w:rPr>
              <w:fldChar w:fldCharType="separate"/>
            </w:r>
            <w:r w:rsidR="0012240F">
              <w:rPr>
                <w:noProof/>
                <w:webHidden/>
              </w:rPr>
              <w:t>31</w:t>
            </w:r>
            <w:r w:rsidR="00E918EB">
              <w:rPr>
                <w:noProof/>
                <w:webHidden/>
              </w:rPr>
              <w:fldChar w:fldCharType="end"/>
            </w:r>
          </w:hyperlink>
        </w:p>
        <w:p w14:paraId="271FABFE" w14:textId="48ECEA4B" w:rsidR="00E918EB" w:rsidRDefault="0016765E">
          <w:pPr>
            <w:pStyle w:val="TOC2"/>
            <w:tabs>
              <w:tab w:val="left" w:pos="1100"/>
            </w:tabs>
            <w:rPr>
              <w:lang w:eastAsia="en-AU"/>
            </w:rPr>
          </w:pPr>
          <w:hyperlink w:anchor="_Toc501621196" w:history="1">
            <w:r w:rsidR="00E918EB" w:rsidRPr="00FA3C2D">
              <w:rPr>
                <w:rStyle w:val="Hyperlink"/>
                <w:rFonts w:eastAsia="Times New Roman"/>
              </w:rPr>
              <w:t>4.5</w:t>
            </w:r>
            <w:r w:rsidR="007E07E1">
              <w:rPr>
                <w:lang w:eastAsia="en-AU"/>
              </w:rPr>
              <w:t xml:space="preserve">  </w:t>
            </w:r>
            <w:r w:rsidR="00E918EB" w:rsidRPr="00FA3C2D">
              <w:rPr>
                <w:rStyle w:val="Hyperlink"/>
                <w:rFonts w:eastAsia="Times New Roman"/>
              </w:rPr>
              <w:t>Approved courses and loan caps</w:t>
            </w:r>
            <w:r w:rsidR="00E918EB">
              <w:rPr>
                <w:webHidden/>
              </w:rPr>
              <w:tab/>
            </w:r>
            <w:r w:rsidR="00E918EB">
              <w:rPr>
                <w:webHidden/>
              </w:rPr>
              <w:fldChar w:fldCharType="begin"/>
            </w:r>
            <w:r w:rsidR="00E918EB">
              <w:rPr>
                <w:webHidden/>
              </w:rPr>
              <w:instrText xml:space="preserve"> PAGEREF _Toc501621196 \h </w:instrText>
            </w:r>
            <w:r w:rsidR="00E918EB">
              <w:rPr>
                <w:webHidden/>
              </w:rPr>
            </w:r>
            <w:r w:rsidR="00E918EB">
              <w:rPr>
                <w:webHidden/>
              </w:rPr>
              <w:fldChar w:fldCharType="separate"/>
            </w:r>
            <w:r w:rsidR="0012240F">
              <w:rPr>
                <w:webHidden/>
              </w:rPr>
              <w:t>32</w:t>
            </w:r>
            <w:r w:rsidR="00E918EB">
              <w:rPr>
                <w:webHidden/>
              </w:rPr>
              <w:fldChar w:fldCharType="end"/>
            </w:r>
          </w:hyperlink>
        </w:p>
        <w:p w14:paraId="0515F0D7" w14:textId="12659741" w:rsidR="00E918EB" w:rsidRDefault="0016765E">
          <w:pPr>
            <w:pStyle w:val="TOC3"/>
            <w:rPr>
              <w:noProof/>
              <w:lang w:eastAsia="en-AU"/>
            </w:rPr>
          </w:pPr>
          <w:hyperlink w:anchor="_Toc501621197" w:history="1">
            <w:r w:rsidR="00E918EB" w:rsidRPr="00FA3C2D">
              <w:rPr>
                <w:rStyle w:val="Hyperlink"/>
                <w:noProof/>
              </w:rPr>
              <w:t>4.5.1   Process for approved providers applying for additional courses</w:t>
            </w:r>
            <w:r w:rsidR="00E918EB">
              <w:rPr>
                <w:noProof/>
                <w:webHidden/>
              </w:rPr>
              <w:tab/>
            </w:r>
            <w:r w:rsidR="00E918EB">
              <w:rPr>
                <w:noProof/>
                <w:webHidden/>
              </w:rPr>
              <w:fldChar w:fldCharType="begin"/>
            </w:r>
            <w:r w:rsidR="00E918EB">
              <w:rPr>
                <w:noProof/>
                <w:webHidden/>
              </w:rPr>
              <w:instrText xml:space="preserve"> PAGEREF _Toc501621197 \h </w:instrText>
            </w:r>
            <w:r w:rsidR="00E918EB">
              <w:rPr>
                <w:noProof/>
                <w:webHidden/>
              </w:rPr>
            </w:r>
            <w:r w:rsidR="00E918EB">
              <w:rPr>
                <w:noProof/>
                <w:webHidden/>
              </w:rPr>
              <w:fldChar w:fldCharType="separate"/>
            </w:r>
            <w:r w:rsidR="0012240F">
              <w:rPr>
                <w:noProof/>
                <w:webHidden/>
              </w:rPr>
              <w:t>33</w:t>
            </w:r>
            <w:r w:rsidR="00E918EB">
              <w:rPr>
                <w:noProof/>
                <w:webHidden/>
              </w:rPr>
              <w:fldChar w:fldCharType="end"/>
            </w:r>
          </w:hyperlink>
        </w:p>
        <w:p w14:paraId="35C5191C" w14:textId="651E9ECA" w:rsidR="00E918EB" w:rsidRDefault="0016765E">
          <w:pPr>
            <w:pStyle w:val="TOC3"/>
            <w:rPr>
              <w:noProof/>
              <w:lang w:eastAsia="en-AU"/>
            </w:rPr>
          </w:pPr>
          <w:hyperlink w:anchor="_Toc501621198" w:history="1">
            <w:r w:rsidR="00E918EB" w:rsidRPr="00FA3C2D">
              <w:rPr>
                <w:rStyle w:val="Hyperlink"/>
                <w:noProof/>
              </w:rPr>
              <w:t>4.5.2   Multiple qualifications</w:t>
            </w:r>
            <w:r w:rsidR="00E918EB">
              <w:rPr>
                <w:noProof/>
                <w:webHidden/>
              </w:rPr>
              <w:tab/>
            </w:r>
            <w:r w:rsidR="00E918EB">
              <w:rPr>
                <w:noProof/>
                <w:webHidden/>
              </w:rPr>
              <w:fldChar w:fldCharType="begin"/>
            </w:r>
            <w:r w:rsidR="00E918EB">
              <w:rPr>
                <w:noProof/>
                <w:webHidden/>
              </w:rPr>
              <w:instrText xml:space="preserve"> PAGEREF _Toc501621198 \h </w:instrText>
            </w:r>
            <w:r w:rsidR="00E918EB">
              <w:rPr>
                <w:noProof/>
                <w:webHidden/>
              </w:rPr>
            </w:r>
            <w:r w:rsidR="00E918EB">
              <w:rPr>
                <w:noProof/>
                <w:webHidden/>
              </w:rPr>
              <w:fldChar w:fldCharType="separate"/>
            </w:r>
            <w:r w:rsidR="0012240F">
              <w:rPr>
                <w:noProof/>
                <w:webHidden/>
              </w:rPr>
              <w:t>34</w:t>
            </w:r>
            <w:r w:rsidR="00E918EB">
              <w:rPr>
                <w:noProof/>
                <w:webHidden/>
              </w:rPr>
              <w:fldChar w:fldCharType="end"/>
            </w:r>
          </w:hyperlink>
        </w:p>
        <w:p w14:paraId="65611911" w14:textId="443A3429" w:rsidR="00E918EB" w:rsidRDefault="0016765E">
          <w:pPr>
            <w:pStyle w:val="TOC3"/>
            <w:rPr>
              <w:noProof/>
              <w:lang w:eastAsia="en-AU"/>
            </w:rPr>
          </w:pPr>
          <w:hyperlink w:anchor="_Toc501621199" w:history="1">
            <w:r w:rsidR="00E918EB" w:rsidRPr="00FA3C2D">
              <w:rPr>
                <w:rStyle w:val="Hyperlink"/>
                <w:noProof/>
              </w:rPr>
              <w:t>4.5.3   Superseded, deleted and non-current courses</w:t>
            </w:r>
            <w:r w:rsidR="00E918EB">
              <w:rPr>
                <w:noProof/>
                <w:webHidden/>
              </w:rPr>
              <w:tab/>
            </w:r>
            <w:r w:rsidR="00E918EB">
              <w:rPr>
                <w:noProof/>
                <w:webHidden/>
              </w:rPr>
              <w:fldChar w:fldCharType="begin"/>
            </w:r>
            <w:r w:rsidR="00E918EB">
              <w:rPr>
                <w:noProof/>
                <w:webHidden/>
              </w:rPr>
              <w:instrText xml:space="preserve"> PAGEREF _Toc501621199 \h </w:instrText>
            </w:r>
            <w:r w:rsidR="00E918EB">
              <w:rPr>
                <w:noProof/>
                <w:webHidden/>
              </w:rPr>
            </w:r>
            <w:r w:rsidR="00E918EB">
              <w:rPr>
                <w:noProof/>
                <w:webHidden/>
              </w:rPr>
              <w:fldChar w:fldCharType="separate"/>
            </w:r>
            <w:r w:rsidR="0012240F">
              <w:rPr>
                <w:noProof/>
                <w:webHidden/>
              </w:rPr>
              <w:t>34</w:t>
            </w:r>
            <w:r w:rsidR="00E918EB">
              <w:rPr>
                <w:noProof/>
                <w:webHidden/>
              </w:rPr>
              <w:fldChar w:fldCharType="end"/>
            </w:r>
          </w:hyperlink>
        </w:p>
        <w:p w14:paraId="590B8F78" w14:textId="19167541" w:rsidR="00E918EB" w:rsidRDefault="0016765E">
          <w:pPr>
            <w:pStyle w:val="TOC3"/>
            <w:rPr>
              <w:noProof/>
              <w:lang w:eastAsia="en-AU"/>
            </w:rPr>
          </w:pPr>
          <w:hyperlink w:anchor="_Toc501621200" w:history="1">
            <w:r w:rsidR="00E918EB" w:rsidRPr="00FA3C2D">
              <w:rPr>
                <w:rStyle w:val="Hyperlink"/>
                <w:noProof/>
              </w:rPr>
              <w:t>4.5.4   Loan caps</w:t>
            </w:r>
            <w:r w:rsidR="00E918EB">
              <w:rPr>
                <w:noProof/>
                <w:webHidden/>
              </w:rPr>
              <w:tab/>
            </w:r>
            <w:r w:rsidR="00E918EB">
              <w:rPr>
                <w:noProof/>
                <w:webHidden/>
              </w:rPr>
              <w:fldChar w:fldCharType="begin"/>
            </w:r>
            <w:r w:rsidR="00E918EB">
              <w:rPr>
                <w:noProof/>
                <w:webHidden/>
              </w:rPr>
              <w:instrText xml:space="preserve"> PAGEREF _Toc501621200 \h </w:instrText>
            </w:r>
            <w:r w:rsidR="00E918EB">
              <w:rPr>
                <w:noProof/>
                <w:webHidden/>
              </w:rPr>
            </w:r>
            <w:r w:rsidR="00E918EB">
              <w:rPr>
                <w:noProof/>
                <w:webHidden/>
              </w:rPr>
              <w:fldChar w:fldCharType="separate"/>
            </w:r>
            <w:r w:rsidR="0012240F">
              <w:rPr>
                <w:noProof/>
                <w:webHidden/>
              </w:rPr>
              <w:t>35</w:t>
            </w:r>
            <w:r w:rsidR="00E918EB">
              <w:rPr>
                <w:noProof/>
                <w:webHidden/>
              </w:rPr>
              <w:fldChar w:fldCharType="end"/>
            </w:r>
          </w:hyperlink>
        </w:p>
        <w:p w14:paraId="2B8BD6D2" w14:textId="5D361D87" w:rsidR="00E918EB" w:rsidRDefault="0016765E">
          <w:pPr>
            <w:pStyle w:val="TOC3"/>
            <w:rPr>
              <w:noProof/>
              <w:lang w:eastAsia="en-AU"/>
            </w:rPr>
          </w:pPr>
          <w:hyperlink w:anchor="_Toc501621201" w:history="1">
            <w:r w:rsidR="00E918EB" w:rsidRPr="00FA3C2D">
              <w:rPr>
                <w:rStyle w:val="Hyperlink"/>
                <w:noProof/>
              </w:rPr>
              <w:t>4.5.5   Gap fees</w:t>
            </w:r>
            <w:r w:rsidR="00E918EB">
              <w:rPr>
                <w:noProof/>
                <w:webHidden/>
              </w:rPr>
              <w:tab/>
            </w:r>
            <w:r w:rsidR="00E918EB">
              <w:rPr>
                <w:noProof/>
                <w:webHidden/>
              </w:rPr>
              <w:fldChar w:fldCharType="begin"/>
            </w:r>
            <w:r w:rsidR="00E918EB">
              <w:rPr>
                <w:noProof/>
                <w:webHidden/>
              </w:rPr>
              <w:instrText xml:space="preserve"> PAGEREF _Toc501621201 \h </w:instrText>
            </w:r>
            <w:r w:rsidR="00E918EB">
              <w:rPr>
                <w:noProof/>
                <w:webHidden/>
              </w:rPr>
            </w:r>
            <w:r w:rsidR="00E918EB">
              <w:rPr>
                <w:noProof/>
                <w:webHidden/>
              </w:rPr>
              <w:fldChar w:fldCharType="separate"/>
            </w:r>
            <w:r w:rsidR="0012240F">
              <w:rPr>
                <w:noProof/>
                <w:webHidden/>
              </w:rPr>
              <w:t>36</w:t>
            </w:r>
            <w:r w:rsidR="00E918EB">
              <w:rPr>
                <w:noProof/>
                <w:webHidden/>
              </w:rPr>
              <w:fldChar w:fldCharType="end"/>
            </w:r>
          </w:hyperlink>
        </w:p>
        <w:p w14:paraId="2EBD032B" w14:textId="291E6A17" w:rsidR="00E918EB" w:rsidRDefault="0016765E">
          <w:pPr>
            <w:pStyle w:val="TOC3"/>
            <w:rPr>
              <w:noProof/>
              <w:lang w:eastAsia="en-AU"/>
            </w:rPr>
          </w:pPr>
          <w:hyperlink w:anchor="_Toc501621202" w:history="1">
            <w:r w:rsidR="00E918EB" w:rsidRPr="00FA3C2D">
              <w:rPr>
                <w:rStyle w:val="Hyperlink"/>
                <w:noProof/>
              </w:rPr>
              <w:t>4.5.6   Managing student access with changes to the determination</w:t>
            </w:r>
            <w:r w:rsidR="00E918EB">
              <w:rPr>
                <w:noProof/>
                <w:webHidden/>
              </w:rPr>
              <w:tab/>
            </w:r>
            <w:r w:rsidR="00E918EB">
              <w:rPr>
                <w:noProof/>
                <w:webHidden/>
              </w:rPr>
              <w:fldChar w:fldCharType="begin"/>
            </w:r>
            <w:r w:rsidR="00E918EB">
              <w:rPr>
                <w:noProof/>
                <w:webHidden/>
              </w:rPr>
              <w:instrText xml:space="preserve"> PAGEREF _Toc501621202 \h </w:instrText>
            </w:r>
            <w:r w:rsidR="00E918EB">
              <w:rPr>
                <w:noProof/>
                <w:webHidden/>
              </w:rPr>
            </w:r>
            <w:r w:rsidR="00E918EB">
              <w:rPr>
                <w:noProof/>
                <w:webHidden/>
              </w:rPr>
              <w:fldChar w:fldCharType="separate"/>
            </w:r>
            <w:r w:rsidR="0012240F">
              <w:rPr>
                <w:noProof/>
                <w:webHidden/>
              </w:rPr>
              <w:t>37</w:t>
            </w:r>
            <w:r w:rsidR="00E918EB">
              <w:rPr>
                <w:noProof/>
                <w:webHidden/>
              </w:rPr>
              <w:fldChar w:fldCharType="end"/>
            </w:r>
          </w:hyperlink>
        </w:p>
        <w:p w14:paraId="242F4A09" w14:textId="29DF07DA" w:rsidR="00E918EB" w:rsidRDefault="0016765E">
          <w:pPr>
            <w:pStyle w:val="TOC2"/>
            <w:rPr>
              <w:lang w:eastAsia="en-AU"/>
            </w:rPr>
          </w:pPr>
          <w:hyperlink w:anchor="_Toc501621203" w:history="1">
            <w:r w:rsidR="00E918EB" w:rsidRPr="00FA3C2D">
              <w:rPr>
                <w:rStyle w:val="Hyperlink"/>
              </w:rPr>
              <w:t>4.6 Provision and delivery</w:t>
            </w:r>
            <w:r w:rsidR="00E918EB">
              <w:rPr>
                <w:webHidden/>
              </w:rPr>
              <w:tab/>
            </w:r>
            <w:r w:rsidR="00E918EB">
              <w:rPr>
                <w:webHidden/>
              </w:rPr>
              <w:fldChar w:fldCharType="begin"/>
            </w:r>
            <w:r w:rsidR="00E918EB">
              <w:rPr>
                <w:webHidden/>
              </w:rPr>
              <w:instrText xml:space="preserve"> PAGEREF _Toc501621203 \h </w:instrText>
            </w:r>
            <w:r w:rsidR="00E918EB">
              <w:rPr>
                <w:webHidden/>
              </w:rPr>
            </w:r>
            <w:r w:rsidR="00E918EB">
              <w:rPr>
                <w:webHidden/>
              </w:rPr>
              <w:fldChar w:fldCharType="separate"/>
            </w:r>
            <w:r w:rsidR="0012240F">
              <w:rPr>
                <w:webHidden/>
              </w:rPr>
              <w:t>37</w:t>
            </w:r>
            <w:r w:rsidR="00E918EB">
              <w:rPr>
                <w:webHidden/>
              </w:rPr>
              <w:fldChar w:fldCharType="end"/>
            </w:r>
          </w:hyperlink>
        </w:p>
        <w:p w14:paraId="453804B3" w14:textId="7B0AB88E" w:rsidR="00E918EB" w:rsidRDefault="0016765E">
          <w:pPr>
            <w:pStyle w:val="TOC3"/>
            <w:rPr>
              <w:noProof/>
              <w:lang w:eastAsia="en-AU"/>
            </w:rPr>
          </w:pPr>
          <w:hyperlink w:anchor="_Toc501621204" w:history="1">
            <w:r w:rsidR="00E918EB" w:rsidRPr="00FA3C2D">
              <w:rPr>
                <w:rStyle w:val="Hyperlink"/>
                <w:noProof/>
              </w:rPr>
              <w:t>4.6.1   What is a third party arrangement (TPA)?</w:t>
            </w:r>
            <w:r w:rsidR="00E918EB">
              <w:rPr>
                <w:noProof/>
                <w:webHidden/>
              </w:rPr>
              <w:tab/>
            </w:r>
            <w:r w:rsidR="00E918EB">
              <w:rPr>
                <w:noProof/>
                <w:webHidden/>
              </w:rPr>
              <w:fldChar w:fldCharType="begin"/>
            </w:r>
            <w:r w:rsidR="00E918EB">
              <w:rPr>
                <w:noProof/>
                <w:webHidden/>
              </w:rPr>
              <w:instrText xml:space="preserve"> PAGEREF _Toc501621204 \h </w:instrText>
            </w:r>
            <w:r w:rsidR="00E918EB">
              <w:rPr>
                <w:noProof/>
                <w:webHidden/>
              </w:rPr>
            </w:r>
            <w:r w:rsidR="00E918EB">
              <w:rPr>
                <w:noProof/>
                <w:webHidden/>
              </w:rPr>
              <w:fldChar w:fldCharType="separate"/>
            </w:r>
            <w:r w:rsidR="0012240F">
              <w:rPr>
                <w:noProof/>
                <w:webHidden/>
              </w:rPr>
              <w:t>38</w:t>
            </w:r>
            <w:r w:rsidR="00E918EB">
              <w:rPr>
                <w:noProof/>
                <w:webHidden/>
              </w:rPr>
              <w:fldChar w:fldCharType="end"/>
            </w:r>
          </w:hyperlink>
        </w:p>
        <w:p w14:paraId="1119212B" w14:textId="580FB549" w:rsidR="00E918EB" w:rsidRDefault="0016765E">
          <w:pPr>
            <w:pStyle w:val="TOC3"/>
            <w:rPr>
              <w:noProof/>
              <w:lang w:eastAsia="en-AU"/>
            </w:rPr>
          </w:pPr>
          <w:hyperlink w:anchor="_Toc501621205" w:history="1">
            <w:r w:rsidR="00E918EB" w:rsidRPr="00FA3C2D">
              <w:rPr>
                <w:rStyle w:val="Hyperlink"/>
                <w:noProof/>
              </w:rPr>
              <w:t>4.6.2   Obligations on TPA partners</w:t>
            </w:r>
            <w:r w:rsidR="00E918EB">
              <w:rPr>
                <w:noProof/>
                <w:webHidden/>
              </w:rPr>
              <w:tab/>
            </w:r>
            <w:r w:rsidR="00E918EB">
              <w:rPr>
                <w:noProof/>
                <w:webHidden/>
              </w:rPr>
              <w:fldChar w:fldCharType="begin"/>
            </w:r>
            <w:r w:rsidR="00E918EB">
              <w:rPr>
                <w:noProof/>
                <w:webHidden/>
              </w:rPr>
              <w:instrText xml:space="preserve"> PAGEREF _Toc501621205 \h </w:instrText>
            </w:r>
            <w:r w:rsidR="00E918EB">
              <w:rPr>
                <w:noProof/>
                <w:webHidden/>
              </w:rPr>
            </w:r>
            <w:r w:rsidR="00E918EB">
              <w:rPr>
                <w:noProof/>
                <w:webHidden/>
              </w:rPr>
              <w:fldChar w:fldCharType="separate"/>
            </w:r>
            <w:r w:rsidR="0012240F">
              <w:rPr>
                <w:noProof/>
                <w:webHidden/>
              </w:rPr>
              <w:t>38</w:t>
            </w:r>
            <w:r w:rsidR="00E918EB">
              <w:rPr>
                <w:noProof/>
                <w:webHidden/>
              </w:rPr>
              <w:fldChar w:fldCharType="end"/>
            </w:r>
          </w:hyperlink>
        </w:p>
        <w:p w14:paraId="0C1A35CE" w14:textId="46E149DB" w:rsidR="00E918EB" w:rsidRDefault="0016765E">
          <w:pPr>
            <w:pStyle w:val="TOC3"/>
            <w:rPr>
              <w:noProof/>
              <w:lang w:eastAsia="en-AU"/>
            </w:rPr>
          </w:pPr>
          <w:hyperlink w:anchor="_Toc501621206" w:history="1">
            <w:r w:rsidR="00E918EB" w:rsidRPr="00FA3C2D">
              <w:rPr>
                <w:rStyle w:val="Hyperlink"/>
                <w:noProof/>
              </w:rPr>
              <w:t>4.6.3   Approval of TPA where the partner is not an approved course provider</w:t>
            </w:r>
            <w:r w:rsidR="00E918EB">
              <w:rPr>
                <w:noProof/>
                <w:webHidden/>
              </w:rPr>
              <w:tab/>
            </w:r>
            <w:r w:rsidR="00E918EB">
              <w:rPr>
                <w:noProof/>
                <w:webHidden/>
              </w:rPr>
              <w:fldChar w:fldCharType="begin"/>
            </w:r>
            <w:r w:rsidR="00E918EB">
              <w:rPr>
                <w:noProof/>
                <w:webHidden/>
              </w:rPr>
              <w:instrText xml:space="preserve"> PAGEREF _Toc501621206 \h </w:instrText>
            </w:r>
            <w:r w:rsidR="00E918EB">
              <w:rPr>
                <w:noProof/>
                <w:webHidden/>
              </w:rPr>
            </w:r>
            <w:r w:rsidR="00E918EB">
              <w:rPr>
                <w:noProof/>
                <w:webHidden/>
              </w:rPr>
              <w:fldChar w:fldCharType="separate"/>
            </w:r>
            <w:r w:rsidR="0012240F">
              <w:rPr>
                <w:noProof/>
                <w:webHidden/>
              </w:rPr>
              <w:t>39</w:t>
            </w:r>
            <w:r w:rsidR="00E918EB">
              <w:rPr>
                <w:noProof/>
                <w:webHidden/>
              </w:rPr>
              <w:fldChar w:fldCharType="end"/>
            </w:r>
          </w:hyperlink>
        </w:p>
        <w:p w14:paraId="648EE8BD" w14:textId="32698FE7" w:rsidR="00E918EB" w:rsidRDefault="0016765E">
          <w:pPr>
            <w:pStyle w:val="TOC3"/>
            <w:rPr>
              <w:noProof/>
              <w:lang w:eastAsia="en-AU"/>
            </w:rPr>
          </w:pPr>
          <w:hyperlink w:anchor="_Toc501621207" w:history="1">
            <w:r w:rsidR="00E918EB" w:rsidRPr="00FA3C2D">
              <w:rPr>
                <w:rStyle w:val="Hyperlink"/>
                <w:noProof/>
              </w:rPr>
              <w:t>4.6.4   Procedure for assessing applications for third party arrangements</w:t>
            </w:r>
            <w:r w:rsidR="00E918EB">
              <w:rPr>
                <w:noProof/>
                <w:webHidden/>
              </w:rPr>
              <w:tab/>
            </w:r>
            <w:r w:rsidR="00E918EB">
              <w:rPr>
                <w:noProof/>
                <w:webHidden/>
              </w:rPr>
              <w:fldChar w:fldCharType="begin"/>
            </w:r>
            <w:r w:rsidR="00E918EB">
              <w:rPr>
                <w:noProof/>
                <w:webHidden/>
              </w:rPr>
              <w:instrText xml:space="preserve"> PAGEREF _Toc501621207 \h </w:instrText>
            </w:r>
            <w:r w:rsidR="00E918EB">
              <w:rPr>
                <w:noProof/>
                <w:webHidden/>
              </w:rPr>
            </w:r>
            <w:r w:rsidR="00E918EB">
              <w:rPr>
                <w:noProof/>
                <w:webHidden/>
              </w:rPr>
              <w:fldChar w:fldCharType="separate"/>
            </w:r>
            <w:r w:rsidR="0012240F">
              <w:rPr>
                <w:noProof/>
                <w:webHidden/>
              </w:rPr>
              <w:t>39</w:t>
            </w:r>
            <w:r w:rsidR="00E918EB">
              <w:rPr>
                <w:noProof/>
                <w:webHidden/>
              </w:rPr>
              <w:fldChar w:fldCharType="end"/>
            </w:r>
          </w:hyperlink>
        </w:p>
        <w:p w14:paraId="598390BF" w14:textId="376A557C" w:rsidR="00E918EB" w:rsidRDefault="0016765E">
          <w:pPr>
            <w:pStyle w:val="TOC2"/>
            <w:rPr>
              <w:lang w:eastAsia="en-AU"/>
            </w:rPr>
          </w:pPr>
          <w:hyperlink w:anchor="_Toc501621208" w:history="1">
            <w:r w:rsidR="00E918EB" w:rsidRPr="00FA3C2D">
              <w:rPr>
                <w:rStyle w:val="Hyperlink"/>
              </w:rPr>
              <w:t>4.7 Student administration</w:t>
            </w:r>
            <w:r w:rsidR="00E918EB">
              <w:rPr>
                <w:webHidden/>
              </w:rPr>
              <w:tab/>
            </w:r>
            <w:r w:rsidR="00E918EB">
              <w:rPr>
                <w:webHidden/>
              </w:rPr>
              <w:fldChar w:fldCharType="begin"/>
            </w:r>
            <w:r w:rsidR="00E918EB">
              <w:rPr>
                <w:webHidden/>
              </w:rPr>
              <w:instrText xml:space="preserve"> PAGEREF _Toc501621208 \h </w:instrText>
            </w:r>
            <w:r w:rsidR="00E918EB">
              <w:rPr>
                <w:webHidden/>
              </w:rPr>
            </w:r>
            <w:r w:rsidR="00E918EB">
              <w:rPr>
                <w:webHidden/>
              </w:rPr>
              <w:fldChar w:fldCharType="separate"/>
            </w:r>
            <w:r w:rsidR="0012240F">
              <w:rPr>
                <w:webHidden/>
              </w:rPr>
              <w:t>41</w:t>
            </w:r>
            <w:r w:rsidR="00E918EB">
              <w:rPr>
                <w:webHidden/>
              </w:rPr>
              <w:fldChar w:fldCharType="end"/>
            </w:r>
          </w:hyperlink>
        </w:p>
        <w:p w14:paraId="2754D36B" w14:textId="0A2C372E" w:rsidR="00E918EB" w:rsidRDefault="0016765E">
          <w:pPr>
            <w:pStyle w:val="TOC3"/>
            <w:rPr>
              <w:noProof/>
              <w:lang w:eastAsia="en-AU"/>
            </w:rPr>
          </w:pPr>
          <w:hyperlink w:anchor="_Toc501621209" w:history="1">
            <w:r w:rsidR="00E918EB" w:rsidRPr="00FA3C2D">
              <w:rPr>
                <w:rStyle w:val="Hyperlink"/>
                <w:noProof/>
              </w:rPr>
              <w:t>4.7.1   Student eligibility for VET Student Loans</w:t>
            </w:r>
            <w:r w:rsidR="00E918EB">
              <w:rPr>
                <w:noProof/>
                <w:webHidden/>
              </w:rPr>
              <w:tab/>
            </w:r>
            <w:r w:rsidR="00E918EB">
              <w:rPr>
                <w:noProof/>
                <w:webHidden/>
              </w:rPr>
              <w:fldChar w:fldCharType="begin"/>
            </w:r>
            <w:r w:rsidR="00E918EB">
              <w:rPr>
                <w:noProof/>
                <w:webHidden/>
              </w:rPr>
              <w:instrText xml:space="preserve"> PAGEREF _Toc501621209 \h </w:instrText>
            </w:r>
            <w:r w:rsidR="00E918EB">
              <w:rPr>
                <w:noProof/>
                <w:webHidden/>
              </w:rPr>
            </w:r>
            <w:r w:rsidR="00E918EB">
              <w:rPr>
                <w:noProof/>
                <w:webHidden/>
              </w:rPr>
              <w:fldChar w:fldCharType="separate"/>
            </w:r>
            <w:r w:rsidR="0012240F">
              <w:rPr>
                <w:noProof/>
                <w:webHidden/>
              </w:rPr>
              <w:t>41</w:t>
            </w:r>
            <w:r w:rsidR="00E918EB">
              <w:rPr>
                <w:noProof/>
                <w:webHidden/>
              </w:rPr>
              <w:fldChar w:fldCharType="end"/>
            </w:r>
          </w:hyperlink>
        </w:p>
        <w:p w14:paraId="7C3F7627" w14:textId="05679ADA" w:rsidR="00E918EB" w:rsidRDefault="0016765E">
          <w:pPr>
            <w:pStyle w:val="TOC3"/>
            <w:rPr>
              <w:noProof/>
              <w:lang w:eastAsia="en-AU"/>
            </w:rPr>
          </w:pPr>
          <w:hyperlink w:anchor="_Toc501621210" w:history="1">
            <w:r w:rsidR="00E918EB" w:rsidRPr="00FA3C2D">
              <w:rPr>
                <w:rStyle w:val="Hyperlink"/>
                <w:noProof/>
              </w:rPr>
              <w:t>4.7.2   Loan fee</w:t>
            </w:r>
            <w:r w:rsidR="00E918EB">
              <w:rPr>
                <w:noProof/>
                <w:webHidden/>
              </w:rPr>
              <w:tab/>
            </w:r>
            <w:r w:rsidR="00E918EB">
              <w:rPr>
                <w:noProof/>
                <w:webHidden/>
              </w:rPr>
              <w:fldChar w:fldCharType="begin"/>
            </w:r>
            <w:r w:rsidR="00E918EB">
              <w:rPr>
                <w:noProof/>
                <w:webHidden/>
              </w:rPr>
              <w:instrText xml:space="preserve"> PAGEREF _Toc501621210 \h </w:instrText>
            </w:r>
            <w:r w:rsidR="00E918EB">
              <w:rPr>
                <w:noProof/>
                <w:webHidden/>
              </w:rPr>
            </w:r>
            <w:r w:rsidR="00E918EB">
              <w:rPr>
                <w:noProof/>
                <w:webHidden/>
              </w:rPr>
              <w:fldChar w:fldCharType="separate"/>
            </w:r>
            <w:r w:rsidR="0012240F">
              <w:rPr>
                <w:noProof/>
                <w:webHidden/>
              </w:rPr>
              <w:t>47</w:t>
            </w:r>
            <w:r w:rsidR="00E918EB">
              <w:rPr>
                <w:noProof/>
                <w:webHidden/>
              </w:rPr>
              <w:fldChar w:fldCharType="end"/>
            </w:r>
          </w:hyperlink>
        </w:p>
        <w:p w14:paraId="29A49E8B" w14:textId="596B9376" w:rsidR="00E918EB" w:rsidRDefault="0016765E">
          <w:pPr>
            <w:pStyle w:val="TOC3"/>
            <w:rPr>
              <w:noProof/>
              <w:lang w:eastAsia="en-AU"/>
            </w:rPr>
          </w:pPr>
          <w:hyperlink w:anchor="_Toc501621211" w:history="1">
            <w:r w:rsidR="00E918EB" w:rsidRPr="00FA3C2D">
              <w:rPr>
                <w:rStyle w:val="Hyperlink"/>
                <w:noProof/>
              </w:rPr>
              <w:t>4.7.3   Determining genuine students</w:t>
            </w:r>
            <w:r w:rsidR="00E918EB">
              <w:rPr>
                <w:noProof/>
                <w:webHidden/>
              </w:rPr>
              <w:tab/>
            </w:r>
            <w:r w:rsidR="00E918EB">
              <w:rPr>
                <w:noProof/>
                <w:webHidden/>
              </w:rPr>
              <w:fldChar w:fldCharType="begin"/>
            </w:r>
            <w:r w:rsidR="00E918EB">
              <w:rPr>
                <w:noProof/>
                <w:webHidden/>
              </w:rPr>
              <w:instrText xml:space="preserve"> PAGEREF _Toc501621211 \h </w:instrText>
            </w:r>
            <w:r w:rsidR="00E918EB">
              <w:rPr>
                <w:noProof/>
                <w:webHidden/>
              </w:rPr>
            </w:r>
            <w:r w:rsidR="00E918EB">
              <w:rPr>
                <w:noProof/>
                <w:webHidden/>
              </w:rPr>
              <w:fldChar w:fldCharType="separate"/>
            </w:r>
            <w:r w:rsidR="0012240F">
              <w:rPr>
                <w:noProof/>
                <w:webHidden/>
              </w:rPr>
              <w:t>48</w:t>
            </w:r>
            <w:r w:rsidR="00E918EB">
              <w:rPr>
                <w:noProof/>
                <w:webHidden/>
              </w:rPr>
              <w:fldChar w:fldCharType="end"/>
            </w:r>
          </w:hyperlink>
        </w:p>
        <w:p w14:paraId="2B631563" w14:textId="500D0F25" w:rsidR="00E918EB" w:rsidRDefault="0016765E">
          <w:pPr>
            <w:pStyle w:val="TOC3"/>
            <w:rPr>
              <w:noProof/>
              <w:lang w:eastAsia="en-AU"/>
            </w:rPr>
          </w:pPr>
          <w:hyperlink w:anchor="_Toc501621212" w:history="1">
            <w:r w:rsidR="00E918EB" w:rsidRPr="00FA3C2D">
              <w:rPr>
                <w:rStyle w:val="Hyperlink"/>
                <w:noProof/>
              </w:rPr>
              <w:t>4.7.4   Students who fail a unit or part of a course</w:t>
            </w:r>
            <w:r w:rsidR="00E918EB">
              <w:rPr>
                <w:noProof/>
                <w:webHidden/>
              </w:rPr>
              <w:tab/>
            </w:r>
            <w:r w:rsidR="00E918EB">
              <w:rPr>
                <w:noProof/>
                <w:webHidden/>
              </w:rPr>
              <w:fldChar w:fldCharType="begin"/>
            </w:r>
            <w:r w:rsidR="00E918EB">
              <w:rPr>
                <w:noProof/>
                <w:webHidden/>
              </w:rPr>
              <w:instrText xml:space="preserve"> PAGEREF _Toc501621212 \h </w:instrText>
            </w:r>
            <w:r w:rsidR="00E918EB">
              <w:rPr>
                <w:noProof/>
                <w:webHidden/>
              </w:rPr>
            </w:r>
            <w:r w:rsidR="00E918EB">
              <w:rPr>
                <w:noProof/>
                <w:webHidden/>
              </w:rPr>
              <w:fldChar w:fldCharType="separate"/>
            </w:r>
            <w:r w:rsidR="0012240F">
              <w:rPr>
                <w:noProof/>
                <w:webHidden/>
              </w:rPr>
              <w:t>51</w:t>
            </w:r>
            <w:r w:rsidR="00E918EB">
              <w:rPr>
                <w:noProof/>
                <w:webHidden/>
              </w:rPr>
              <w:fldChar w:fldCharType="end"/>
            </w:r>
          </w:hyperlink>
        </w:p>
        <w:p w14:paraId="1338371B" w14:textId="598B65AC" w:rsidR="00E918EB" w:rsidRDefault="0016765E">
          <w:pPr>
            <w:pStyle w:val="TOC2"/>
            <w:rPr>
              <w:lang w:eastAsia="en-AU"/>
            </w:rPr>
          </w:pPr>
          <w:hyperlink w:anchor="_Toc501621213" w:history="1">
            <w:r w:rsidR="00E918EB" w:rsidRPr="00FA3C2D">
              <w:rPr>
                <w:rStyle w:val="Hyperlink"/>
              </w:rPr>
              <w:t>4.8 Processes and procedures</w:t>
            </w:r>
            <w:r w:rsidR="00E918EB">
              <w:rPr>
                <w:webHidden/>
              </w:rPr>
              <w:tab/>
            </w:r>
            <w:r w:rsidR="00E918EB">
              <w:rPr>
                <w:webHidden/>
              </w:rPr>
              <w:fldChar w:fldCharType="begin"/>
            </w:r>
            <w:r w:rsidR="00E918EB">
              <w:rPr>
                <w:webHidden/>
              </w:rPr>
              <w:instrText xml:space="preserve"> PAGEREF _Toc501621213 \h </w:instrText>
            </w:r>
            <w:r w:rsidR="00E918EB">
              <w:rPr>
                <w:webHidden/>
              </w:rPr>
            </w:r>
            <w:r w:rsidR="00E918EB">
              <w:rPr>
                <w:webHidden/>
              </w:rPr>
              <w:fldChar w:fldCharType="separate"/>
            </w:r>
            <w:r w:rsidR="0012240F">
              <w:rPr>
                <w:webHidden/>
              </w:rPr>
              <w:t>51</w:t>
            </w:r>
            <w:r w:rsidR="00E918EB">
              <w:rPr>
                <w:webHidden/>
              </w:rPr>
              <w:fldChar w:fldCharType="end"/>
            </w:r>
          </w:hyperlink>
        </w:p>
        <w:p w14:paraId="6EA6CCDD" w14:textId="4B907906" w:rsidR="00E918EB" w:rsidRDefault="0016765E">
          <w:pPr>
            <w:pStyle w:val="TOC3"/>
            <w:rPr>
              <w:noProof/>
              <w:lang w:eastAsia="en-AU"/>
            </w:rPr>
          </w:pPr>
          <w:hyperlink w:anchor="_Toc501621214" w:history="1">
            <w:r w:rsidR="00E918EB" w:rsidRPr="00FA3C2D">
              <w:rPr>
                <w:rStyle w:val="Hyperlink"/>
                <w:noProof/>
              </w:rPr>
              <w:t>4.8.1   Staff training in processes and procedures</w:t>
            </w:r>
            <w:r w:rsidR="00E918EB">
              <w:rPr>
                <w:noProof/>
                <w:webHidden/>
              </w:rPr>
              <w:tab/>
            </w:r>
            <w:r w:rsidR="00E918EB">
              <w:rPr>
                <w:noProof/>
                <w:webHidden/>
              </w:rPr>
              <w:fldChar w:fldCharType="begin"/>
            </w:r>
            <w:r w:rsidR="00E918EB">
              <w:rPr>
                <w:noProof/>
                <w:webHidden/>
              </w:rPr>
              <w:instrText xml:space="preserve"> PAGEREF _Toc501621214 \h </w:instrText>
            </w:r>
            <w:r w:rsidR="00E918EB">
              <w:rPr>
                <w:noProof/>
                <w:webHidden/>
              </w:rPr>
            </w:r>
            <w:r w:rsidR="00E918EB">
              <w:rPr>
                <w:noProof/>
                <w:webHidden/>
              </w:rPr>
              <w:fldChar w:fldCharType="separate"/>
            </w:r>
            <w:r w:rsidR="0012240F">
              <w:rPr>
                <w:noProof/>
                <w:webHidden/>
              </w:rPr>
              <w:t>51</w:t>
            </w:r>
            <w:r w:rsidR="00E918EB">
              <w:rPr>
                <w:noProof/>
                <w:webHidden/>
              </w:rPr>
              <w:fldChar w:fldCharType="end"/>
            </w:r>
          </w:hyperlink>
        </w:p>
        <w:p w14:paraId="100E341F" w14:textId="400AFE93" w:rsidR="00E918EB" w:rsidRDefault="0016765E">
          <w:pPr>
            <w:pStyle w:val="TOC3"/>
            <w:rPr>
              <w:noProof/>
              <w:lang w:eastAsia="en-AU"/>
            </w:rPr>
          </w:pPr>
          <w:hyperlink w:anchor="_Toc501621215" w:history="1">
            <w:r w:rsidR="00E918EB" w:rsidRPr="00FA3C2D">
              <w:rPr>
                <w:rStyle w:val="Hyperlink"/>
                <w:rFonts w:eastAsia="Calibri"/>
                <w:noProof/>
              </w:rPr>
              <w:t xml:space="preserve">4.8.2   Processes and procedures publishing </w:t>
            </w:r>
            <w:r w:rsidR="00E918EB" w:rsidRPr="00FA3C2D">
              <w:rPr>
                <w:rStyle w:val="Hyperlink"/>
                <w:noProof/>
              </w:rPr>
              <w:t>requirements</w:t>
            </w:r>
            <w:r w:rsidR="00E918EB">
              <w:rPr>
                <w:noProof/>
                <w:webHidden/>
              </w:rPr>
              <w:tab/>
            </w:r>
            <w:r w:rsidR="00E918EB">
              <w:rPr>
                <w:noProof/>
                <w:webHidden/>
              </w:rPr>
              <w:fldChar w:fldCharType="begin"/>
            </w:r>
            <w:r w:rsidR="00E918EB">
              <w:rPr>
                <w:noProof/>
                <w:webHidden/>
              </w:rPr>
              <w:instrText xml:space="preserve"> PAGEREF _Toc501621215 \h </w:instrText>
            </w:r>
            <w:r w:rsidR="00E918EB">
              <w:rPr>
                <w:noProof/>
                <w:webHidden/>
              </w:rPr>
            </w:r>
            <w:r w:rsidR="00E918EB">
              <w:rPr>
                <w:noProof/>
                <w:webHidden/>
              </w:rPr>
              <w:fldChar w:fldCharType="separate"/>
            </w:r>
            <w:r w:rsidR="0012240F">
              <w:rPr>
                <w:noProof/>
                <w:webHidden/>
              </w:rPr>
              <w:t>52</w:t>
            </w:r>
            <w:r w:rsidR="00E918EB">
              <w:rPr>
                <w:noProof/>
                <w:webHidden/>
              </w:rPr>
              <w:fldChar w:fldCharType="end"/>
            </w:r>
          </w:hyperlink>
        </w:p>
        <w:p w14:paraId="0BF24A3A" w14:textId="091EF764" w:rsidR="00E918EB" w:rsidRDefault="0016765E">
          <w:pPr>
            <w:pStyle w:val="TOC3"/>
            <w:rPr>
              <w:noProof/>
              <w:lang w:eastAsia="en-AU"/>
            </w:rPr>
          </w:pPr>
          <w:hyperlink w:anchor="_Toc501621216" w:history="1">
            <w:r w:rsidR="00E918EB" w:rsidRPr="00FA3C2D">
              <w:rPr>
                <w:rStyle w:val="Hyperlink"/>
                <w:noProof/>
              </w:rPr>
              <w:t>4.8.3   Process and procedures relating to student entry</w:t>
            </w:r>
            <w:r w:rsidR="00E918EB">
              <w:rPr>
                <w:noProof/>
                <w:webHidden/>
              </w:rPr>
              <w:tab/>
            </w:r>
            <w:r w:rsidR="00E918EB">
              <w:rPr>
                <w:noProof/>
                <w:webHidden/>
              </w:rPr>
              <w:fldChar w:fldCharType="begin"/>
            </w:r>
            <w:r w:rsidR="00E918EB">
              <w:rPr>
                <w:noProof/>
                <w:webHidden/>
              </w:rPr>
              <w:instrText xml:space="preserve"> PAGEREF _Toc501621216 \h </w:instrText>
            </w:r>
            <w:r w:rsidR="00E918EB">
              <w:rPr>
                <w:noProof/>
                <w:webHidden/>
              </w:rPr>
            </w:r>
            <w:r w:rsidR="00E918EB">
              <w:rPr>
                <w:noProof/>
                <w:webHidden/>
              </w:rPr>
              <w:fldChar w:fldCharType="separate"/>
            </w:r>
            <w:r w:rsidR="0012240F">
              <w:rPr>
                <w:noProof/>
                <w:webHidden/>
              </w:rPr>
              <w:t>52</w:t>
            </w:r>
            <w:r w:rsidR="00E918EB">
              <w:rPr>
                <w:noProof/>
                <w:webHidden/>
              </w:rPr>
              <w:fldChar w:fldCharType="end"/>
            </w:r>
          </w:hyperlink>
        </w:p>
        <w:p w14:paraId="6916590D" w14:textId="6085CAFF" w:rsidR="00E918EB" w:rsidRDefault="0016765E">
          <w:pPr>
            <w:pStyle w:val="TOC3"/>
            <w:rPr>
              <w:noProof/>
              <w:lang w:eastAsia="en-AU"/>
            </w:rPr>
          </w:pPr>
          <w:hyperlink w:anchor="_Toc501621217" w:history="1">
            <w:r w:rsidR="00E918EB" w:rsidRPr="00FA3C2D">
              <w:rPr>
                <w:rStyle w:val="Hyperlink"/>
                <w:noProof/>
              </w:rPr>
              <w:t>4.8.4   Processes and procedures for enrolment in courses</w:t>
            </w:r>
            <w:r w:rsidR="00E918EB">
              <w:rPr>
                <w:noProof/>
                <w:webHidden/>
              </w:rPr>
              <w:tab/>
            </w:r>
            <w:r w:rsidR="00E918EB">
              <w:rPr>
                <w:noProof/>
                <w:webHidden/>
              </w:rPr>
              <w:fldChar w:fldCharType="begin"/>
            </w:r>
            <w:r w:rsidR="00E918EB">
              <w:rPr>
                <w:noProof/>
                <w:webHidden/>
              </w:rPr>
              <w:instrText xml:space="preserve"> PAGEREF _Toc501621217 \h </w:instrText>
            </w:r>
            <w:r w:rsidR="00E918EB">
              <w:rPr>
                <w:noProof/>
                <w:webHidden/>
              </w:rPr>
            </w:r>
            <w:r w:rsidR="00E918EB">
              <w:rPr>
                <w:noProof/>
                <w:webHidden/>
              </w:rPr>
              <w:fldChar w:fldCharType="separate"/>
            </w:r>
            <w:r w:rsidR="0012240F">
              <w:rPr>
                <w:noProof/>
                <w:webHidden/>
              </w:rPr>
              <w:t>57</w:t>
            </w:r>
            <w:r w:rsidR="00E918EB">
              <w:rPr>
                <w:noProof/>
                <w:webHidden/>
              </w:rPr>
              <w:fldChar w:fldCharType="end"/>
            </w:r>
          </w:hyperlink>
        </w:p>
        <w:p w14:paraId="19633A97" w14:textId="598DCD9C" w:rsidR="00E918EB" w:rsidRDefault="0016765E">
          <w:pPr>
            <w:pStyle w:val="TOC3"/>
            <w:rPr>
              <w:noProof/>
              <w:lang w:eastAsia="en-AU"/>
            </w:rPr>
          </w:pPr>
          <w:hyperlink w:anchor="_Toc501621218" w:history="1">
            <w:r w:rsidR="00E918EB" w:rsidRPr="00FA3C2D">
              <w:rPr>
                <w:rStyle w:val="Hyperlink"/>
                <w:noProof/>
              </w:rPr>
              <w:t>4.8.5   Processes and procedures relating to loan applications</w:t>
            </w:r>
            <w:r w:rsidR="00E918EB">
              <w:rPr>
                <w:noProof/>
                <w:webHidden/>
              </w:rPr>
              <w:tab/>
            </w:r>
            <w:r w:rsidR="00E918EB">
              <w:rPr>
                <w:noProof/>
                <w:webHidden/>
              </w:rPr>
              <w:fldChar w:fldCharType="begin"/>
            </w:r>
            <w:r w:rsidR="00E918EB">
              <w:rPr>
                <w:noProof/>
                <w:webHidden/>
              </w:rPr>
              <w:instrText xml:space="preserve"> PAGEREF _Toc501621218 \h </w:instrText>
            </w:r>
            <w:r w:rsidR="00E918EB">
              <w:rPr>
                <w:noProof/>
                <w:webHidden/>
              </w:rPr>
            </w:r>
            <w:r w:rsidR="00E918EB">
              <w:rPr>
                <w:noProof/>
                <w:webHidden/>
              </w:rPr>
              <w:fldChar w:fldCharType="separate"/>
            </w:r>
            <w:r w:rsidR="0012240F">
              <w:rPr>
                <w:noProof/>
                <w:webHidden/>
              </w:rPr>
              <w:t>57</w:t>
            </w:r>
            <w:r w:rsidR="00E918EB">
              <w:rPr>
                <w:noProof/>
                <w:webHidden/>
              </w:rPr>
              <w:fldChar w:fldCharType="end"/>
            </w:r>
          </w:hyperlink>
        </w:p>
        <w:p w14:paraId="0ECB77CB" w14:textId="4BD97728" w:rsidR="00E918EB" w:rsidRDefault="0016765E">
          <w:pPr>
            <w:pStyle w:val="TOC3"/>
            <w:rPr>
              <w:noProof/>
              <w:lang w:eastAsia="en-AU"/>
            </w:rPr>
          </w:pPr>
          <w:hyperlink w:anchor="_Toc501621219" w:history="1">
            <w:r w:rsidR="00E918EB" w:rsidRPr="00FA3C2D">
              <w:rPr>
                <w:rStyle w:val="Hyperlink"/>
                <w:noProof/>
              </w:rPr>
              <w:t>4.8.6   Electronic communications between students and the Commonwealth</w:t>
            </w:r>
            <w:r w:rsidR="00E918EB">
              <w:rPr>
                <w:noProof/>
                <w:webHidden/>
              </w:rPr>
              <w:tab/>
            </w:r>
            <w:r w:rsidR="00E918EB">
              <w:rPr>
                <w:noProof/>
                <w:webHidden/>
              </w:rPr>
              <w:fldChar w:fldCharType="begin"/>
            </w:r>
            <w:r w:rsidR="00E918EB">
              <w:rPr>
                <w:noProof/>
                <w:webHidden/>
              </w:rPr>
              <w:instrText xml:space="preserve"> PAGEREF _Toc501621219 \h </w:instrText>
            </w:r>
            <w:r w:rsidR="00E918EB">
              <w:rPr>
                <w:noProof/>
                <w:webHidden/>
              </w:rPr>
            </w:r>
            <w:r w:rsidR="00E918EB">
              <w:rPr>
                <w:noProof/>
                <w:webHidden/>
              </w:rPr>
              <w:fldChar w:fldCharType="separate"/>
            </w:r>
            <w:r w:rsidR="0012240F">
              <w:rPr>
                <w:noProof/>
                <w:webHidden/>
              </w:rPr>
              <w:t>58</w:t>
            </w:r>
            <w:r w:rsidR="00E918EB">
              <w:rPr>
                <w:noProof/>
                <w:webHidden/>
              </w:rPr>
              <w:fldChar w:fldCharType="end"/>
            </w:r>
          </w:hyperlink>
        </w:p>
        <w:p w14:paraId="2EBF5E6B" w14:textId="22F89A07" w:rsidR="00E918EB" w:rsidRDefault="0016765E">
          <w:pPr>
            <w:pStyle w:val="TOC3"/>
            <w:rPr>
              <w:noProof/>
              <w:lang w:eastAsia="en-AU"/>
            </w:rPr>
          </w:pPr>
          <w:hyperlink w:anchor="_Toc501621220" w:history="1">
            <w:r w:rsidR="00E918EB" w:rsidRPr="00FA3C2D">
              <w:rPr>
                <w:rStyle w:val="Hyperlink"/>
                <w:noProof/>
              </w:rPr>
              <w:t>4.8.7   Processes and procedures relating to a student’s withdrawal from a course</w:t>
            </w:r>
            <w:r w:rsidR="00E918EB">
              <w:rPr>
                <w:noProof/>
                <w:webHidden/>
              </w:rPr>
              <w:tab/>
            </w:r>
            <w:r w:rsidR="00E918EB">
              <w:rPr>
                <w:noProof/>
                <w:webHidden/>
              </w:rPr>
              <w:fldChar w:fldCharType="begin"/>
            </w:r>
            <w:r w:rsidR="00E918EB">
              <w:rPr>
                <w:noProof/>
                <w:webHidden/>
              </w:rPr>
              <w:instrText xml:space="preserve"> PAGEREF _Toc501621220 \h </w:instrText>
            </w:r>
            <w:r w:rsidR="00E918EB">
              <w:rPr>
                <w:noProof/>
                <w:webHidden/>
              </w:rPr>
            </w:r>
            <w:r w:rsidR="00E918EB">
              <w:rPr>
                <w:noProof/>
                <w:webHidden/>
              </w:rPr>
              <w:fldChar w:fldCharType="separate"/>
            </w:r>
            <w:r w:rsidR="0012240F">
              <w:rPr>
                <w:noProof/>
                <w:webHidden/>
              </w:rPr>
              <w:t>60</w:t>
            </w:r>
            <w:r w:rsidR="00E918EB">
              <w:rPr>
                <w:noProof/>
                <w:webHidden/>
              </w:rPr>
              <w:fldChar w:fldCharType="end"/>
            </w:r>
          </w:hyperlink>
        </w:p>
        <w:p w14:paraId="7E960722" w14:textId="60E79F09" w:rsidR="00E918EB" w:rsidRDefault="0016765E">
          <w:pPr>
            <w:pStyle w:val="TOC3"/>
            <w:rPr>
              <w:noProof/>
              <w:lang w:eastAsia="en-AU"/>
            </w:rPr>
          </w:pPr>
          <w:hyperlink w:anchor="_Toc501621221" w:history="1">
            <w:r w:rsidR="00E918EB" w:rsidRPr="00FA3C2D">
              <w:rPr>
                <w:rStyle w:val="Hyperlink"/>
                <w:noProof/>
              </w:rPr>
              <w:t>4.8.8   Processes and procedures relating to cancellation of enrolment by a provider</w:t>
            </w:r>
            <w:r w:rsidR="00E918EB">
              <w:rPr>
                <w:noProof/>
                <w:webHidden/>
              </w:rPr>
              <w:tab/>
            </w:r>
            <w:r w:rsidR="00E918EB">
              <w:rPr>
                <w:noProof/>
                <w:webHidden/>
              </w:rPr>
              <w:fldChar w:fldCharType="begin"/>
            </w:r>
            <w:r w:rsidR="00E918EB">
              <w:rPr>
                <w:noProof/>
                <w:webHidden/>
              </w:rPr>
              <w:instrText xml:space="preserve"> PAGEREF _Toc501621221 \h </w:instrText>
            </w:r>
            <w:r w:rsidR="00E918EB">
              <w:rPr>
                <w:noProof/>
                <w:webHidden/>
              </w:rPr>
            </w:r>
            <w:r w:rsidR="00E918EB">
              <w:rPr>
                <w:noProof/>
                <w:webHidden/>
              </w:rPr>
              <w:fldChar w:fldCharType="separate"/>
            </w:r>
            <w:r w:rsidR="0012240F">
              <w:rPr>
                <w:noProof/>
                <w:webHidden/>
              </w:rPr>
              <w:t>62</w:t>
            </w:r>
            <w:r w:rsidR="00E918EB">
              <w:rPr>
                <w:noProof/>
                <w:webHidden/>
              </w:rPr>
              <w:fldChar w:fldCharType="end"/>
            </w:r>
          </w:hyperlink>
        </w:p>
        <w:p w14:paraId="5C9CA281" w14:textId="44158A4E" w:rsidR="00E918EB" w:rsidRDefault="0016765E">
          <w:pPr>
            <w:pStyle w:val="TOC3"/>
            <w:rPr>
              <w:noProof/>
              <w:lang w:eastAsia="en-AU"/>
            </w:rPr>
          </w:pPr>
          <w:hyperlink w:anchor="_Toc501621222" w:history="1">
            <w:r w:rsidR="00E918EB" w:rsidRPr="00FA3C2D">
              <w:rPr>
                <w:rStyle w:val="Hyperlink"/>
                <w:noProof/>
              </w:rPr>
              <w:t>4.8.9   Processes and procedures relating to student complaints</w:t>
            </w:r>
            <w:r w:rsidR="00E918EB">
              <w:rPr>
                <w:noProof/>
                <w:webHidden/>
              </w:rPr>
              <w:tab/>
            </w:r>
            <w:r w:rsidR="00E918EB">
              <w:rPr>
                <w:noProof/>
                <w:webHidden/>
              </w:rPr>
              <w:fldChar w:fldCharType="begin"/>
            </w:r>
            <w:r w:rsidR="00E918EB">
              <w:rPr>
                <w:noProof/>
                <w:webHidden/>
              </w:rPr>
              <w:instrText xml:space="preserve"> PAGEREF _Toc501621222 \h </w:instrText>
            </w:r>
            <w:r w:rsidR="00E918EB">
              <w:rPr>
                <w:noProof/>
                <w:webHidden/>
              </w:rPr>
            </w:r>
            <w:r w:rsidR="00E918EB">
              <w:rPr>
                <w:noProof/>
                <w:webHidden/>
              </w:rPr>
              <w:fldChar w:fldCharType="separate"/>
            </w:r>
            <w:r w:rsidR="0012240F">
              <w:rPr>
                <w:noProof/>
                <w:webHidden/>
              </w:rPr>
              <w:t>62</w:t>
            </w:r>
            <w:r w:rsidR="00E918EB">
              <w:rPr>
                <w:noProof/>
                <w:webHidden/>
              </w:rPr>
              <w:fldChar w:fldCharType="end"/>
            </w:r>
          </w:hyperlink>
        </w:p>
        <w:p w14:paraId="00131226" w14:textId="6BC8EF0C" w:rsidR="00E918EB" w:rsidRDefault="0016765E">
          <w:pPr>
            <w:pStyle w:val="TOC3"/>
            <w:rPr>
              <w:noProof/>
              <w:lang w:eastAsia="en-AU"/>
            </w:rPr>
          </w:pPr>
          <w:hyperlink w:anchor="_Toc501621223" w:history="1">
            <w:r w:rsidR="00E918EB" w:rsidRPr="00FA3C2D">
              <w:rPr>
                <w:rStyle w:val="Hyperlink"/>
                <w:noProof/>
              </w:rPr>
              <w:t>4.8.10   Process and procedures relating to fees</w:t>
            </w:r>
            <w:r w:rsidR="00E918EB">
              <w:rPr>
                <w:noProof/>
                <w:webHidden/>
              </w:rPr>
              <w:tab/>
            </w:r>
            <w:r w:rsidR="00E918EB">
              <w:rPr>
                <w:noProof/>
                <w:webHidden/>
              </w:rPr>
              <w:fldChar w:fldCharType="begin"/>
            </w:r>
            <w:r w:rsidR="00E918EB">
              <w:rPr>
                <w:noProof/>
                <w:webHidden/>
              </w:rPr>
              <w:instrText xml:space="preserve"> PAGEREF _Toc501621223 \h </w:instrText>
            </w:r>
            <w:r w:rsidR="00E918EB">
              <w:rPr>
                <w:noProof/>
                <w:webHidden/>
              </w:rPr>
            </w:r>
            <w:r w:rsidR="00E918EB">
              <w:rPr>
                <w:noProof/>
                <w:webHidden/>
              </w:rPr>
              <w:fldChar w:fldCharType="separate"/>
            </w:r>
            <w:r w:rsidR="0012240F">
              <w:rPr>
                <w:noProof/>
                <w:webHidden/>
              </w:rPr>
              <w:t>64</w:t>
            </w:r>
            <w:r w:rsidR="00E918EB">
              <w:rPr>
                <w:noProof/>
                <w:webHidden/>
              </w:rPr>
              <w:fldChar w:fldCharType="end"/>
            </w:r>
          </w:hyperlink>
        </w:p>
        <w:p w14:paraId="76ABE2C4" w14:textId="6B93EDF9" w:rsidR="00E918EB" w:rsidRDefault="0016765E">
          <w:pPr>
            <w:pStyle w:val="TOC3"/>
            <w:rPr>
              <w:noProof/>
              <w:lang w:eastAsia="en-AU"/>
            </w:rPr>
          </w:pPr>
          <w:hyperlink w:anchor="_Toc501621224" w:history="1">
            <w:r w:rsidR="00E918EB" w:rsidRPr="00FA3C2D">
              <w:rPr>
                <w:rStyle w:val="Hyperlink"/>
                <w:noProof/>
              </w:rPr>
              <w:t>4.8.11 Recognition of prior learning (RPL), fees and reporting requirements</w:t>
            </w:r>
            <w:r w:rsidR="00E918EB">
              <w:rPr>
                <w:noProof/>
                <w:webHidden/>
              </w:rPr>
              <w:tab/>
            </w:r>
            <w:r w:rsidR="00E918EB">
              <w:rPr>
                <w:noProof/>
                <w:webHidden/>
              </w:rPr>
              <w:fldChar w:fldCharType="begin"/>
            </w:r>
            <w:r w:rsidR="00E918EB">
              <w:rPr>
                <w:noProof/>
                <w:webHidden/>
              </w:rPr>
              <w:instrText xml:space="preserve"> PAGEREF _Toc501621224 \h </w:instrText>
            </w:r>
            <w:r w:rsidR="00E918EB">
              <w:rPr>
                <w:noProof/>
                <w:webHidden/>
              </w:rPr>
            </w:r>
            <w:r w:rsidR="00E918EB">
              <w:rPr>
                <w:noProof/>
                <w:webHidden/>
              </w:rPr>
              <w:fldChar w:fldCharType="separate"/>
            </w:r>
            <w:r w:rsidR="0012240F">
              <w:rPr>
                <w:noProof/>
                <w:webHidden/>
              </w:rPr>
              <w:t>66</w:t>
            </w:r>
            <w:r w:rsidR="00E918EB">
              <w:rPr>
                <w:noProof/>
                <w:webHidden/>
              </w:rPr>
              <w:fldChar w:fldCharType="end"/>
            </w:r>
          </w:hyperlink>
        </w:p>
        <w:p w14:paraId="3B27646D" w14:textId="701E5B98" w:rsidR="00E918EB" w:rsidRDefault="0016765E">
          <w:pPr>
            <w:pStyle w:val="TOC3"/>
            <w:rPr>
              <w:noProof/>
              <w:lang w:eastAsia="en-AU"/>
            </w:rPr>
          </w:pPr>
          <w:hyperlink w:anchor="_Toc501621225" w:history="1">
            <w:r w:rsidR="00E918EB" w:rsidRPr="00FA3C2D">
              <w:rPr>
                <w:rStyle w:val="Hyperlink"/>
                <w:noProof/>
              </w:rPr>
              <w:t>4.8.12   Fee periods</w:t>
            </w:r>
            <w:r w:rsidR="00E918EB">
              <w:rPr>
                <w:noProof/>
                <w:webHidden/>
              </w:rPr>
              <w:tab/>
            </w:r>
            <w:r w:rsidR="00E918EB">
              <w:rPr>
                <w:noProof/>
                <w:webHidden/>
              </w:rPr>
              <w:fldChar w:fldCharType="begin"/>
            </w:r>
            <w:r w:rsidR="00E918EB">
              <w:rPr>
                <w:noProof/>
                <w:webHidden/>
              </w:rPr>
              <w:instrText xml:space="preserve"> PAGEREF _Toc501621225 \h </w:instrText>
            </w:r>
            <w:r w:rsidR="00E918EB">
              <w:rPr>
                <w:noProof/>
                <w:webHidden/>
              </w:rPr>
            </w:r>
            <w:r w:rsidR="00E918EB">
              <w:rPr>
                <w:noProof/>
                <w:webHidden/>
              </w:rPr>
              <w:fldChar w:fldCharType="separate"/>
            </w:r>
            <w:r w:rsidR="0012240F">
              <w:rPr>
                <w:noProof/>
                <w:webHidden/>
              </w:rPr>
              <w:t>68</w:t>
            </w:r>
            <w:r w:rsidR="00E918EB">
              <w:rPr>
                <w:noProof/>
                <w:webHidden/>
              </w:rPr>
              <w:fldChar w:fldCharType="end"/>
            </w:r>
          </w:hyperlink>
        </w:p>
        <w:p w14:paraId="71448E60" w14:textId="1D6B5665" w:rsidR="00E918EB" w:rsidRDefault="0016765E">
          <w:pPr>
            <w:pStyle w:val="TOC3"/>
            <w:rPr>
              <w:noProof/>
              <w:lang w:eastAsia="en-AU"/>
            </w:rPr>
          </w:pPr>
          <w:hyperlink w:anchor="_Toc501621226" w:history="1">
            <w:r w:rsidR="00E918EB" w:rsidRPr="00FA3C2D">
              <w:rPr>
                <w:rStyle w:val="Hyperlink"/>
                <w:noProof/>
              </w:rPr>
              <w:t>4.8.13 Variations to tuition fees</w:t>
            </w:r>
            <w:r w:rsidR="00E918EB">
              <w:rPr>
                <w:noProof/>
                <w:webHidden/>
              </w:rPr>
              <w:tab/>
            </w:r>
            <w:r w:rsidR="00E918EB">
              <w:rPr>
                <w:noProof/>
                <w:webHidden/>
              </w:rPr>
              <w:fldChar w:fldCharType="begin"/>
            </w:r>
            <w:r w:rsidR="00E918EB">
              <w:rPr>
                <w:noProof/>
                <w:webHidden/>
              </w:rPr>
              <w:instrText xml:space="preserve"> PAGEREF _Toc501621226 \h </w:instrText>
            </w:r>
            <w:r w:rsidR="00E918EB">
              <w:rPr>
                <w:noProof/>
                <w:webHidden/>
              </w:rPr>
            </w:r>
            <w:r w:rsidR="00E918EB">
              <w:rPr>
                <w:noProof/>
                <w:webHidden/>
              </w:rPr>
              <w:fldChar w:fldCharType="separate"/>
            </w:r>
            <w:r w:rsidR="0012240F">
              <w:rPr>
                <w:noProof/>
                <w:webHidden/>
              </w:rPr>
              <w:t>69</w:t>
            </w:r>
            <w:r w:rsidR="00E918EB">
              <w:rPr>
                <w:noProof/>
                <w:webHidden/>
              </w:rPr>
              <w:fldChar w:fldCharType="end"/>
            </w:r>
          </w:hyperlink>
        </w:p>
        <w:p w14:paraId="6E16DE7A" w14:textId="189B9D14" w:rsidR="00E918EB" w:rsidRDefault="0016765E">
          <w:pPr>
            <w:pStyle w:val="TOC3"/>
            <w:rPr>
              <w:noProof/>
              <w:lang w:eastAsia="en-AU"/>
            </w:rPr>
          </w:pPr>
          <w:hyperlink w:anchor="_Toc501621227" w:history="1">
            <w:r w:rsidR="00E918EB" w:rsidRPr="00FA3C2D">
              <w:rPr>
                <w:rStyle w:val="Hyperlink"/>
                <w:noProof/>
              </w:rPr>
              <w:t>4.8.14   Variations to tuition fees that disadvantage students</w:t>
            </w:r>
            <w:r w:rsidR="00E918EB">
              <w:rPr>
                <w:noProof/>
                <w:webHidden/>
              </w:rPr>
              <w:tab/>
            </w:r>
            <w:r w:rsidR="00E918EB">
              <w:rPr>
                <w:noProof/>
                <w:webHidden/>
              </w:rPr>
              <w:fldChar w:fldCharType="begin"/>
            </w:r>
            <w:r w:rsidR="00E918EB">
              <w:rPr>
                <w:noProof/>
                <w:webHidden/>
              </w:rPr>
              <w:instrText xml:space="preserve"> PAGEREF _Toc501621227 \h </w:instrText>
            </w:r>
            <w:r w:rsidR="00E918EB">
              <w:rPr>
                <w:noProof/>
                <w:webHidden/>
              </w:rPr>
            </w:r>
            <w:r w:rsidR="00E918EB">
              <w:rPr>
                <w:noProof/>
                <w:webHidden/>
              </w:rPr>
              <w:fldChar w:fldCharType="separate"/>
            </w:r>
            <w:r w:rsidR="0012240F">
              <w:rPr>
                <w:noProof/>
                <w:webHidden/>
              </w:rPr>
              <w:t>70</w:t>
            </w:r>
            <w:r w:rsidR="00E918EB">
              <w:rPr>
                <w:noProof/>
                <w:webHidden/>
              </w:rPr>
              <w:fldChar w:fldCharType="end"/>
            </w:r>
          </w:hyperlink>
        </w:p>
        <w:p w14:paraId="7E61D3D8" w14:textId="1F42F876" w:rsidR="00E918EB" w:rsidRDefault="0016765E">
          <w:pPr>
            <w:pStyle w:val="TOC3"/>
            <w:rPr>
              <w:noProof/>
              <w:lang w:eastAsia="en-AU"/>
            </w:rPr>
          </w:pPr>
          <w:hyperlink w:anchor="_Toc501621228" w:history="1">
            <w:r w:rsidR="00E918EB" w:rsidRPr="00FA3C2D">
              <w:rPr>
                <w:rStyle w:val="Hyperlink"/>
                <w:noProof/>
              </w:rPr>
              <w:t>4.8.15   Processes and procedures relating to re-crediting a FEE-HELP balance</w:t>
            </w:r>
            <w:r w:rsidR="00E918EB">
              <w:rPr>
                <w:noProof/>
                <w:webHidden/>
              </w:rPr>
              <w:tab/>
            </w:r>
            <w:r w:rsidR="00E918EB">
              <w:rPr>
                <w:noProof/>
                <w:webHidden/>
              </w:rPr>
              <w:fldChar w:fldCharType="begin"/>
            </w:r>
            <w:r w:rsidR="00E918EB">
              <w:rPr>
                <w:noProof/>
                <w:webHidden/>
              </w:rPr>
              <w:instrText xml:space="preserve"> PAGEREF _Toc501621228 \h </w:instrText>
            </w:r>
            <w:r w:rsidR="00E918EB">
              <w:rPr>
                <w:noProof/>
                <w:webHidden/>
              </w:rPr>
            </w:r>
            <w:r w:rsidR="00E918EB">
              <w:rPr>
                <w:noProof/>
                <w:webHidden/>
              </w:rPr>
              <w:fldChar w:fldCharType="separate"/>
            </w:r>
            <w:r w:rsidR="0012240F">
              <w:rPr>
                <w:noProof/>
                <w:webHidden/>
              </w:rPr>
              <w:t>70</w:t>
            </w:r>
            <w:r w:rsidR="00E918EB">
              <w:rPr>
                <w:noProof/>
                <w:webHidden/>
              </w:rPr>
              <w:fldChar w:fldCharType="end"/>
            </w:r>
          </w:hyperlink>
        </w:p>
        <w:p w14:paraId="0A090A78" w14:textId="7E8CDA6B" w:rsidR="00E918EB" w:rsidRDefault="0016765E">
          <w:pPr>
            <w:pStyle w:val="TOC3"/>
            <w:rPr>
              <w:noProof/>
              <w:lang w:eastAsia="en-AU"/>
            </w:rPr>
          </w:pPr>
          <w:hyperlink w:anchor="_Toc501621229" w:history="1">
            <w:r w:rsidR="00E918EB" w:rsidRPr="00FA3C2D">
              <w:rPr>
                <w:rStyle w:val="Hyperlink"/>
                <w:noProof/>
              </w:rPr>
              <w:t>4.8.16   Processes and procedures relating for handling information</w:t>
            </w:r>
            <w:r w:rsidR="00E918EB">
              <w:rPr>
                <w:noProof/>
                <w:webHidden/>
              </w:rPr>
              <w:tab/>
            </w:r>
            <w:r w:rsidR="00E918EB">
              <w:rPr>
                <w:noProof/>
                <w:webHidden/>
              </w:rPr>
              <w:fldChar w:fldCharType="begin"/>
            </w:r>
            <w:r w:rsidR="00E918EB">
              <w:rPr>
                <w:noProof/>
                <w:webHidden/>
              </w:rPr>
              <w:instrText xml:space="preserve"> PAGEREF _Toc501621229 \h </w:instrText>
            </w:r>
            <w:r w:rsidR="00E918EB">
              <w:rPr>
                <w:noProof/>
                <w:webHidden/>
              </w:rPr>
            </w:r>
            <w:r w:rsidR="00E918EB">
              <w:rPr>
                <w:noProof/>
                <w:webHidden/>
              </w:rPr>
              <w:fldChar w:fldCharType="separate"/>
            </w:r>
            <w:r w:rsidR="0012240F">
              <w:rPr>
                <w:noProof/>
                <w:webHidden/>
              </w:rPr>
              <w:t>79</w:t>
            </w:r>
            <w:r w:rsidR="00E918EB">
              <w:rPr>
                <w:noProof/>
                <w:webHidden/>
              </w:rPr>
              <w:fldChar w:fldCharType="end"/>
            </w:r>
          </w:hyperlink>
        </w:p>
        <w:p w14:paraId="17E360F5" w14:textId="43B776DC" w:rsidR="00E918EB" w:rsidRDefault="0016765E">
          <w:pPr>
            <w:pStyle w:val="TOC2"/>
            <w:rPr>
              <w:lang w:eastAsia="en-AU"/>
            </w:rPr>
          </w:pPr>
          <w:hyperlink w:anchor="_Toc501621230" w:history="1">
            <w:r w:rsidR="00E918EB" w:rsidRPr="00FA3C2D">
              <w:rPr>
                <w:rStyle w:val="Hyperlink"/>
              </w:rPr>
              <w:t>4.9 Census Days</w:t>
            </w:r>
            <w:r w:rsidR="00E918EB">
              <w:rPr>
                <w:webHidden/>
              </w:rPr>
              <w:tab/>
            </w:r>
            <w:r w:rsidR="00E918EB">
              <w:rPr>
                <w:webHidden/>
              </w:rPr>
              <w:fldChar w:fldCharType="begin"/>
            </w:r>
            <w:r w:rsidR="00E918EB">
              <w:rPr>
                <w:webHidden/>
              </w:rPr>
              <w:instrText xml:space="preserve"> PAGEREF _Toc501621230 \h </w:instrText>
            </w:r>
            <w:r w:rsidR="00E918EB">
              <w:rPr>
                <w:webHidden/>
              </w:rPr>
            </w:r>
            <w:r w:rsidR="00E918EB">
              <w:rPr>
                <w:webHidden/>
              </w:rPr>
              <w:fldChar w:fldCharType="separate"/>
            </w:r>
            <w:r w:rsidR="0012240F">
              <w:rPr>
                <w:webHidden/>
              </w:rPr>
              <w:t>79</w:t>
            </w:r>
            <w:r w:rsidR="00E918EB">
              <w:rPr>
                <w:webHidden/>
              </w:rPr>
              <w:fldChar w:fldCharType="end"/>
            </w:r>
          </w:hyperlink>
        </w:p>
        <w:p w14:paraId="090B55CC" w14:textId="6D77AF19" w:rsidR="00E918EB" w:rsidRDefault="0016765E">
          <w:pPr>
            <w:pStyle w:val="TOC3"/>
            <w:rPr>
              <w:noProof/>
              <w:lang w:eastAsia="en-AU"/>
            </w:rPr>
          </w:pPr>
          <w:hyperlink w:anchor="_Toc501621231" w:history="1">
            <w:r w:rsidR="00E918EB" w:rsidRPr="00FA3C2D">
              <w:rPr>
                <w:rStyle w:val="Hyperlink"/>
                <w:noProof/>
              </w:rPr>
              <w:t>4.9.1   Determining census days</w:t>
            </w:r>
            <w:r w:rsidR="00E918EB">
              <w:rPr>
                <w:noProof/>
                <w:webHidden/>
              </w:rPr>
              <w:tab/>
            </w:r>
            <w:r w:rsidR="00E918EB">
              <w:rPr>
                <w:noProof/>
                <w:webHidden/>
              </w:rPr>
              <w:fldChar w:fldCharType="begin"/>
            </w:r>
            <w:r w:rsidR="00E918EB">
              <w:rPr>
                <w:noProof/>
                <w:webHidden/>
              </w:rPr>
              <w:instrText xml:space="preserve"> PAGEREF _Toc501621231 \h </w:instrText>
            </w:r>
            <w:r w:rsidR="00E918EB">
              <w:rPr>
                <w:noProof/>
                <w:webHidden/>
              </w:rPr>
            </w:r>
            <w:r w:rsidR="00E918EB">
              <w:rPr>
                <w:noProof/>
                <w:webHidden/>
              </w:rPr>
              <w:fldChar w:fldCharType="separate"/>
            </w:r>
            <w:r w:rsidR="0012240F">
              <w:rPr>
                <w:noProof/>
                <w:webHidden/>
              </w:rPr>
              <w:t>79</w:t>
            </w:r>
            <w:r w:rsidR="00E918EB">
              <w:rPr>
                <w:noProof/>
                <w:webHidden/>
              </w:rPr>
              <w:fldChar w:fldCharType="end"/>
            </w:r>
          </w:hyperlink>
        </w:p>
        <w:p w14:paraId="12E72ED5" w14:textId="4A6826A6" w:rsidR="00E918EB" w:rsidRDefault="0016765E">
          <w:pPr>
            <w:pStyle w:val="TOC3"/>
            <w:rPr>
              <w:noProof/>
              <w:lang w:eastAsia="en-AU"/>
            </w:rPr>
          </w:pPr>
          <w:hyperlink w:anchor="_Toc501621232" w:history="1">
            <w:r w:rsidR="00E918EB" w:rsidRPr="00FA3C2D">
              <w:rPr>
                <w:rStyle w:val="Hyperlink"/>
                <w:noProof/>
              </w:rPr>
              <w:t>4.9.2   Flexible enrolments</w:t>
            </w:r>
            <w:r w:rsidR="00E918EB">
              <w:rPr>
                <w:noProof/>
                <w:webHidden/>
              </w:rPr>
              <w:tab/>
            </w:r>
            <w:r w:rsidR="00E918EB">
              <w:rPr>
                <w:noProof/>
                <w:webHidden/>
              </w:rPr>
              <w:fldChar w:fldCharType="begin"/>
            </w:r>
            <w:r w:rsidR="00E918EB">
              <w:rPr>
                <w:noProof/>
                <w:webHidden/>
              </w:rPr>
              <w:instrText xml:space="preserve"> PAGEREF _Toc501621232 \h </w:instrText>
            </w:r>
            <w:r w:rsidR="00E918EB">
              <w:rPr>
                <w:noProof/>
                <w:webHidden/>
              </w:rPr>
            </w:r>
            <w:r w:rsidR="00E918EB">
              <w:rPr>
                <w:noProof/>
                <w:webHidden/>
              </w:rPr>
              <w:fldChar w:fldCharType="separate"/>
            </w:r>
            <w:r w:rsidR="0012240F">
              <w:rPr>
                <w:noProof/>
                <w:webHidden/>
              </w:rPr>
              <w:t>80</w:t>
            </w:r>
            <w:r w:rsidR="00E918EB">
              <w:rPr>
                <w:noProof/>
                <w:webHidden/>
              </w:rPr>
              <w:fldChar w:fldCharType="end"/>
            </w:r>
          </w:hyperlink>
        </w:p>
        <w:p w14:paraId="49FC4BF0" w14:textId="3BB25F8E" w:rsidR="00E918EB" w:rsidRDefault="0016765E">
          <w:pPr>
            <w:pStyle w:val="TOC3"/>
            <w:rPr>
              <w:noProof/>
              <w:lang w:eastAsia="en-AU"/>
            </w:rPr>
          </w:pPr>
          <w:hyperlink w:anchor="_Toc501621233" w:history="1">
            <w:r w:rsidR="00E918EB" w:rsidRPr="00FA3C2D">
              <w:rPr>
                <w:rStyle w:val="Hyperlink"/>
                <w:noProof/>
              </w:rPr>
              <w:t>4.9.3   Publishing census days</w:t>
            </w:r>
            <w:r w:rsidR="00E918EB">
              <w:rPr>
                <w:noProof/>
                <w:webHidden/>
              </w:rPr>
              <w:tab/>
            </w:r>
            <w:r w:rsidR="00E918EB">
              <w:rPr>
                <w:noProof/>
                <w:webHidden/>
              </w:rPr>
              <w:fldChar w:fldCharType="begin"/>
            </w:r>
            <w:r w:rsidR="00E918EB">
              <w:rPr>
                <w:noProof/>
                <w:webHidden/>
              </w:rPr>
              <w:instrText xml:space="preserve"> PAGEREF _Toc501621233 \h </w:instrText>
            </w:r>
            <w:r w:rsidR="00E918EB">
              <w:rPr>
                <w:noProof/>
                <w:webHidden/>
              </w:rPr>
            </w:r>
            <w:r w:rsidR="00E918EB">
              <w:rPr>
                <w:noProof/>
                <w:webHidden/>
              </w:rPr>
              <w:fldChar w:fldCharType="separate"/>
            </w:r>
            <w:r w:rsidR="0012240F">
              <w:rPr>
                <w:noProof/>
                <w:webHidden/>
              </w:rPr>
              <w:t>80</w:t>
            </w:r>
            <w:r w:rsidR="00E918EB">
              <w:rPr>
                <w:noProof/>
                <w:webHidden/>
              </w:rPr>
              <w:fldChar w:fldCharType="end"/>
            </w:r>
          </w:hyperlink>
        </w:p>
        <w:p w14:paraId="6EFA169E" w14:textId="73F8450A" w:rsidR="00E918EB" w:rsidRDefault="0016765E">
          <w:pPr>
            <w:pStyle w:val="TOC3"/>
            <w:rPr>
              <w:noProof/>
              <w:lang w:eastAsia="en-AU"/>
            </w:rPr>
          </w:pPr>
          <w:hyperlink w:anchor="_Toc501621234" w:history="1">
            <w:r w:rsidR="00E918EB" w:rsidRPr="00FA3C2D">
              <w:rPr>
                <w:rStyle w:val="Hyperlink"/>
                <w:noProof/>
              </w:rPr>
              <w:t>4.9.4   Variations to census days</w:t>
            </w:r>
            <w:r w:rsidR="00E918EB">
              <w:rPr>
                <w:noProof/>
                <w:webHidden/>
              </w:rPr>
              <w:tab/>
            </w:r>
            <w:r w:rsidR="00E918EB">
              <w:rPr>
                <w:noProof/>
                <w:webHidden/>
              </w:rPr>
              <w:fldChar w:fldCharType="begin"/>
            </w:r>
            <w:r w:rsidR="00E918EB">
              <w:rPr>
                <w:noProof/>
                <w:webHidden/>
              </w:rPr>
              <w:instrText xml:space="preserve"> PAGEREF _Toc501621234 \h </w:instrText>
            </w:r>
            <w:r w:rsidR="00E918EB">
              <w:rPr>
                <w:noProof/>
                <w:webHidden/>
              </w:rPr>
            </w:r>
            <w:r w:rsidR="00E918EB">
              <w:rPr>
                <w:noProof/>
                <w:webHidden/>
              </w:rPr>
              <w:fldChar w:fldCharType="separate"/>
            </w:r>
            <w:r w:rsidR="0012240F">
              <w:rPr>
                <w:noProof/>
                <w:webHidden/>
              </w:rPr>
              <w:t>80</w:t>
            </w:r>
            <w:r w:rsidR="00E918EB">
              <w:rPr>
                <w:noProof/>
                <w:webHidden/>
              </w:rPr>
              <w:fldChar w:fldCharType="end"/>
            </w:r>
          </w:hyperlink>
        </w:p>
        <w:p w14:paraId="0B42A2D6" w14:textId="685B6862" w:rsidR="00E918EB" w:rsidRDefault="0016765E">
          <w:pPr>
            <w:pStyle w:val="TOC3"/>
            <w:rPr>
              <w:noProof/>
              <w:lang w:eastAsia="en-AU"/>
            </w:rPr>
          </w:pPr>
          <w:hyperlink w:anchor="_Toc501621235" w:history="1">
            <w:r w:rsidR="00E918EB" w:rsidRPr="00FA3C2D">
              <w:rPr>
                <w:rStyle w:val="Hyperlink"/>
                <w:noProof/>
              </w:rPr>
              <w:t>4.9.5   Variations to census days that disadvantage students</w:t>
            </w:r>
            <w:r w:rsidR="00E918EB">
              <w:rPr>
                <w:noProof/>
                <w:webHidden/>
              </w:rPr>
              <w:tab/>
            </w:r>
            <w:r w:rsidR="00E918EB">
              <w:rPr>
                <w:noProof/>
                <w:webHidden/>
              </w:rPr>
              <w:fldChar w:fldCharType="begin"/>
            </w:r>
            <w:r w:rsidR="00E918EB">
              <w:rPr>
                <w:noProof/>
                <w:webHidden/>
              </w:rPr>
              <w:instrText xml:space="preserve"> PAGEREF _Toc501621235 \h </w:instrText>
            </w:r>
            <w:r w:rsidR="00E918EB">
              <w:rPr>
                <w:noProof/>
                <w:webHidden/>
              </w:rPr>
            </w:r>
            <w:r w:rsidR="00E918EB">
              <w:rPr>
                <w:noProof/>
                <w:webHidden/>
              </w:rPr>
              <w:fldChar w:fldCharType="separate"/>
            </w:r>
            <w:r w:rsidR="0012240F">
              <w:rPr>
                <w:noProof/>
                <w:webHidden/>
              </w:rPr>
              <w:t>81</w:t>
            </w:r>
            <w:r w:rsidR="00E918EB">
              <w:rPr>
                <w:noProof/>
                <w:webHidden/>
              </w:rPr>
              <w:fldChar w:fldCharType="end"/>
            </w:r>
          </w:hyperlink>
        </w:p>
        <w:p w14:paraId="166DB3E7" w14:textId="11B8A2EB" w:rsidR="00E918EB" w:rsidRDefault="0016765E">
          <w:pPr>
            <w:pStyle w:val="TOC2"/>
            <w:rPr>
              <w:lang w:eastAsia="en-AU"/>
            </w:rPr>
          </w:pPr>
          <w:hyperlink w:anchor="_Toc501621236" w:history="1">
            <w:r w:rsidR="00E918EB" w:rsidRPr="00FA3C2D">
              <w:rPr>
                <w:rStyle w:val="Hyperlink"/>
              </w:rPr>
              <w:t>4.10 Marketing</w:t>
            </w:r>
            <w:r w:rsidR="00E918EB">
              <w:rPr>
                <w:webHidden/>
              </w:rPr>
              <w:tab/>
            </w:r>
            <w:r w:rsidR="00E918EB">
              <w:rPr>
                <w:webHidden/>
              </w:rPr>
              <w:fldChar w:fldCharType="begin"/>
            </w:r>
            <w:r w:rsidR="00E918EB">
              <w:rPr>
                <w:webHidden/>
              </w:rPr>
              <w:instrText xml:space="preserve"> PAGEREF _Toc501621236 \h </w:instrText>
            </w:r>
            <w:r w:rsidR="00E918EB">
              <w:rPr>
                <w:webHidden/>
              </w:rPr>
            </w:r>
            <w:r w:rsidR="00E918EB">
              <w:rPr>
                <w:webHidden/>
              </w:rPr>
              <w:fldChar w:fldCharType="separate"/>
            </w:r>
            <w:r w:rsidR="0012240F">
              <w:rPr>
                <w:webHidden/>
              </w:rPr>
              <w:t>81</w:t>
            </w:r>
            <w:r w:rsidR="00E918EB">
              <w:rPr>
                <w:webHidden/>
              </w:rPr>
              <w:fldChar w:fldCharType="end"/>
            </w:r>
          </w:hyperlink>
        </w:p>
        <w:p w14:paraId="099B5553" w14:textId="325DCDED" w:rsidR="00E918EB" w:rsidRDefault="0016765E">
          <w:pPr>
            <w:pStyle w:val="TOC3"/>
            <w:rPr>
              <w:noProof/>
              <w:lang w:eastAsia="en-AU"/>
            </w:rPr>
          </w:pPr>
          <w:hyperlink w:anchor="_Toc501621237" w:history="1">
            <w:r w:rsidR="00E918EB" w:rsidRPr="00FA3C2D">
              <w:rPr>
                <w:rStyle w:val="Hyperlink"/>
                <w:noProof/>
              </w:rPr>
              <w:t>4.10.1   Misrepresenting VET Student Loans</w:t>
            </w:r>
            <w:r w:rsidR="00E918EB">
              <w:rPr>
                <w:noProof/>
                <w:webHidden/>
              </w:rPr>
              <w:tab/>
            </w:r>
            <w:r w:rsidR="00E918EB">
              <w:rPr>
                <w:noProof/>
                <w:webHidden/>
              </w:rPr>
              <w:fldChar w:fldCharType="begin"/>
            </w:r>
            <w:r w:rsidR="00E918EB">
              <w:rPr>
                <w:noProof/>
                <w:webHidden/>
              </w:rPr>
              <w:instrText xml:space="preserve"> PAGEREF _Toc501621237 \h </w:instrText>
            </w:r>
            <w:r w:rsidR="00E918EB">
              <w:rPr>
                <w:noProof/>
                <w:webHidden/>
              </w:rPr>
            </w:r>
            <w:r w:rsidR="00E918EB">
              <w:rPr>
                <w:noProof/>
                <w:webHidden/>
              </w:rPr>
              <w:fldChar w:fldCharType="separate"/>
            </w:r>
            <w:r w:rsidR="0012240F">
              <w:rPr>
                <w:noProof/>
                <w:webHidden/>
              </w:rPr>
              <w:t>82</w:t>
            </w:r>
            <w:r w:rsidR="00E918EB">
              <w:rPr>
                <w:noProof/>
                <w:webHidden/>
              </w:rPr>
              <w:fldChar w:fldCharType="end"/>
            </w:r>
          </w:hyperlink>
        </w:p>
        <w:p w14:paraId="272511AB" w14:textId="643FB885" w:rsidR="00E918EB" w:rsidRDefault="0016765E">
          <w:pPr>
            <w:pStyle w:val="TOC3"/>
            <w:rPr>
              <w:noProof/>
              <w:lang w:eastAsia="en-AU"/>
            </w:rPr>
          </w:pPr>
          <w:hyperlink w:anchor="_Toc501621238" w:history="1">
            <w:r w:rsidR="00E918EB" w:rsidRPr="00FA3C2D">
              <w:rPr>
                <w:rStyle w:val="Hyperlink"/>
                <w:noProof/>
              </w:rPr>
              <w:t>4.10.2   Offering inducements</w:t>
            </w:r>
            <w:r w:rsidR="00E918EB">
              <w:rPr>
                <w:noProof/>
                <w:webHidden/>
              </w:rPr>
              <w:tab/>
            </w:r>
            <w:r w:rsidR="00E918EB">
              <w:rPr>
                <w:noProof/>
                <w:webHidden/>
              </w:rPr>
              <w:fldChar w:fldCharType="begin"/>
            </w:r>
            <w:r w:rsidR="00E918EB">
              <w:rPr>
                <w:noProof/>
                <w:webHidden/>
              </w:rPr>
              <w:instrText xml:space="preserve"> PAGEREF _Toc501621238 \h </w:instrText>
            </w:r>
            <w:r w:rsidR="00E918EB">
              <w:rPr>
                <w:noProof/>
                <w:webHidden/>
              </w:rPr>
            </w:r>
            <w:r w:rsidR="00E918EB">
              <w:rPr>
                <w:noProof/>
                <w:webHidden/>
              </w:rPr>
              <w:fldChar w:fldCharType="separate"/>
            </w:r>
            <w:r w:rsidR="0012240F">
              <w:rPr>
                <w:noProof/>
                <w:webHidden/>
              </w:rPr>
              <w:t>82</w:t>
            </w:r>
            <w:r w:rsidR="00E918EB">
              <w:rPr>
                <w:noProof/>
                <w:webHidden/>
              </w:rPr>
              <w:fldChar w:fldCharType="end"/>
            </w:r>
          </w:hyperlink>
        </w:p>
        <w:p w14:paraId="54238FA8" w14:textId="5DE9A06D" w:rsidR="00E918EB" w:rsidRDefault="0016765E">
          <w:pPr>
            <w:pStyle w:val="TOC3"/>
            <w:rPr>
              <w:noProof/>
              <w:lang w:eastAsia="en-AU"/>
            </w:rPr>
          </w:pPr>
          <w:hyperlink w:anchor="_Toc501621239" w:history="1">
            <w:r w:rsidR="00E918EB" w:rsidRPr="00FA3C2D">
              <w:rPr>
                <w:rStyle w:val="Hyperlink"/>
                <w:noProof/>
              </w:rPr>
              <w:t>4.10.3   Engaging in cold-calling</w:t>
            </w:r>
            <w:r w:rsidR="00E918EB">
              <w:rPr>
                <w:noProof/>
                <w:webHidden/>
              </w:rPr>
              <w:tab/>
            </w:r>
            <w:r w:rsidR="00E918EB">
              <w:rPr>
                <w:noProof/>
                <w:webHidden/>
              </w:rPr>
              <w:fldChar w:fldCharType="begin"/>
            </w:r>
            <w:r w:rsidR="00E918EB">
              <w:rPr>
                <w:noProof/>
                <w:webHidden/>
              </w:rPr>
              <w:instrText xml:space="preserve"> PAGEREF _Toc501621239 \h </w:instrText>
            </w:r>
            <w:r w:rsidR="00E918EB">
              <w:rPr>
                <w:noProof/>
                <w:webHidden/>
              </w:rPr>
            </w:r>
            <w:r w:rsidR="00E918EB">
              <w:rPr>
                <w:noProof/>
                <w:webHidden/>
              </w:rPr>
              <w:fldChar w:fldCharType="separate"/>
            </w:r>
            <w:r w:rsidR="0012240F">
              <w:rPr>
                <w:noProof/>
                <w:webHidden/>
              </w:rPr>
              <w:t>82</w:t>
            </w:r>
            <w:r w:rsidR="00E918EB">
              <w:rPr>
                <w:noProof/>
                <w:webHidden/>
              </w:rPr>
              <w:fldChar w:fldCharType="end"/>
            </w:r>
          </w:hyperlink>
        </w:p>
        <w:p w14:paraId="734B0542" w14:textId="6093D51E" w:rsidR="00E918EB" w:rsidRDefault="0016765E">
          <w:pPr>
            <w:pStyle w:val="TOC3"/>
            <w:rPr>
              <w:noProof/>
              <w:lang w:eastAsia="en-AU"/>
            </w:rPr>
          </w:pPr>
          <w:hyperlink w:anchor="_Toc501621240" w:history="1">
            <w:r w:rsidR="00E918EB" w:rsidRPr="00FA3C2D">
              <w:rPr>
                <w:rStyle w:val="Hyperlink"/>
                <w:noProof/>
              </w:rPr>
              <w:t>4.10.4   Use of third party contact lists</w:t>
            </w:r>
            <w:r w:rsidR="00E918EB">
              <w:rPr>
                <w:noProof/>
                <w:webHidden/>
              </w:rPr>
              <w:tab/>
            </w:r>
            <w:r w:rsidR="00E918EB">
              <w:rPr>
                <w:noProof/>
                <w:webHidden/>
              </w:rPr>
              <w:fldChar w:fldCharType="begin"/>
            </w:r>
            <w:r w:rsidR="00E918EB">
              <w:rPr>
                <w:noProof/>
                <w:webHidden/>
              </w:rPr>
              <w:instrText xml:space="preserve"> PAGEREF _Toc501621240 \h </w:instrText>
            </w:r>
            <w:r w:rsidR="00E918EB">
              <w:rPr>
                <w:noProof/>
                <w:webHidden/>
              </w:rPr>
            </w:r>
            <w:r w:rsidR="00E918EB">
              <w:rPr>
                <w:noProof/>
                <w:webHidden/>
              </w:rPr>
              <w:fldChar w:fldCharType="separate"/>
            </w:r>
            <w:r w:rsidR="0012240F">
              <w:rPr>
                <w:noProof/>
                <w:webHidden/>
              </w:rPr>
              <w:t>82</w:t>
            </w:r>
            <w:r w:rsidR="00E918EB">
              <w:rPr>
                <w:noProof/>
                <w:webHidden/>
              </w:rPr>
              <w:fldChar w:fldCharType="end"/>
            </w:r>
          </w:hyperlink>
        </w:p>
        <w:p w14:paraId="20159E07" w14:textId="69577C9F" w:rsidR="00E918EB" w:rsidRDefault="0016765E">
          <w:pPr>
            <w:pStyle w:val="TOC3"/>
            <w:rPr>
              <w:noProof/>
              <w:lang w:eastAsia="en-AU"/>
            </w:rPr>
          </w:pPr>
          <w:hyperlink w:anchor="_Toc501621241" w:history="1">
            <w:r w:rsidR="00E918EB" w:rsidRPr="00FA3C2D">
              <w:rPr>
                <w:rStyle w:val="Hyperlink"/>
                <w:noProof/>
              </w:rPr>
              <w:t>4.10.5   Other marketing requirements</w:t>
            </w:r>
            <w:r w:rsidR="00E918EB">
              <w:rPr>
                <w:noProof/>
                <w:webHidden/>
              </w:rPr>
              <w:tab/>
            </w:r>
            <w:r w:rsidR="00E918EB">
              <w:rPr>
                <w:noProof/>
                <w:webHidden/>
              </w:rPr>
              <w:fldChar w:fldCharType="begin"/>
            </w:r>
            <w:r w:rsidR="00E918EB">
              <w:rPr>
                <w:noProof/>
                <w:webHidden/>
              </w:rPr>
              <w:instrText xml:space="preserve"> PAGEREF _Toc501621241 \h </w:instrText>
            </w:r>
            <w:r w:rsidR="00E918EB">
              <w:rPr>
                <w:noProof/>
                <w:webHidden/>
              </w:rPr>
            </w:r>
            <w:r w:rsidR="00E918EB">
              <w:rPr>
                <w:noProof/>
                <w:webHidden/>
              </w:rPr>
              <w:fldChar w:fldCharType="separate"/>
            </w:r>
            <w:r w:rsidR="0012240F">
              <w:rPr>
                <w:noProof/>
                <w:webHidden/>
              </w:rPr>
              <w:t>83</w:t>
            </w:r>
            <w:r w:rsidR="00E918EB">
              <w:rPr>
                <w:noProof/>
                <w:webHidden/>
              </w:rPr>
              <w:fldChar w:fldCharType="end"/>
            </w:r>
          </w:hyperlink>
        </w:p>
        <w:p w14:paraId="785C3F7E" w14:textId="3A30114E" w:rsidR="00E918EB" w:rsidRDefault="0016765E">
          <w:pPr>
            <w:pStyle w:val="TOC3"/>
            <w:rPr>
              <w:noProof/>
              <w:lang w:eastAsia="en-AU"/>
            </w:rPr>
          </w:pPr>
          <w:hyperlink w:anchor="_Toc501621242" w:history="1">
            <w:r w:rsidR="00E918EB" w:rsidRPr="00FA3C2D">
              <w:rPr>
                <w:rStyle w:val="Hyperlink"/>
                <w:noProof/>
              </w:rPr>
              <w:t>4.10.6   Information about fees</w:t>
            </w:r>
            <w:r w:rsidR="00E918EB">
              <w:rPr>
                <w:noProof/>
                <w:webHidden/>
              </w:rPr>
              <w:tab/>
            </w:r>
            <w:r w:rsidR="00E918EB">
              <w:rPr>
                <w:noProof/>
                <w:webHidden/>
              </w:rPr>
              <w:fldChar w:fldCharType="begin"/>
            </w:r>
            <w:r w:rsidR="00E918EB">
              <w:rPr>
                <w:noProof/>
                <w:webHidden/>
              </w:rPr>
              <w:instrText xml:space="preserve"> PAGEREF _Toc501621242 \h </w:instrText>
            </w:r>
            <w:r w:rsidR="00E918EB">
              <w:rPr>
                <w:noProof/>
                <w:webHidden/>
              </w:rPr>
            </w:r>
            <w:r w:rsidR="00E918EB">
              <w:rPr>
                <w:noProof/>
                <w:webHidden/>
              </w:rPr>
              <w:fldChar w:fldCharType="separate"/>
            </w:r>
            <w:r w:rsidR="0012240F">
              <w:rPr>
                <w:noProof/>
                <w:webHidden/>
              </w:rPr>
              <w:t>83</w:t>
            </w:r>
            <w:r w:rsidR="00E918EB">
              <w:rPr>
                <w:noProof/>
                <w:webHidden/>
              </w:rPr>
              <w:fldChar w:fldCharType="end"/>
            </w:r>
          </w:hyperlink>
        </w:p>
        <w:p w14:paraId="05FCB385" w14:textId="7439BA34" w:rsidR="00E918EB" w:rsidRDefault="0016765E">
          <w:pPr>
            <w:pStyle w:val="TOC3"/>
            <w:rPr>
              <w:noProof/>
              <w:lang w:eastAsia="en-AU"/>
            </w:rPr>
          </w:pPr>
          <w:hyperlink w:anchor="_Toc501621243" w:history="1">
            <w:r w:rsidR="00E918EB" w:rsidRPr="00FA3C2D">
              <w:rPr>
                <w:rStyle w:val="Hyperlink"/>
                <w:noProof/>
              </w:rPr>
              <w:t>4.10.7   Marketing that mentions VET Student Loans</w:t>
            </w:r>
            <w:r w:rsidR="00E918EB">
              <w:rPr>
                <w:noProof/>
                <w:webHidden/>
              </w:rPr>
              <w:tab/>
            </w:r>
            <w:r w:rsidR="00E918EB">
              <w:rPr>
                <w:noProof/>
                <w:webHidden/>
              </w:rPr>
              <w:fldChar w:fldCharType="begin"/>
            </w:r>
            <w:r w:rsidR="00E918EB">
              <w:rPr>
                <w:noProof/>
                <w:webHidden/>
              </w:rPr>
              <w:instrText xml:space="preserve"> PAGEREF _Toc501621243 \h </w:instrText>
            </w:r>
            <w:r w:rsidR="00E918EB">
              <w:rPr>
                <w:noProof/>
                <w:webHidden/>
              </w:rPr>
            </w:r>
            <w:r w:rsidR="00E918EB">
              <w:rPr>
                <w:noProof/>
                <w:webHidden/>
              </w:rPr>
              <w:fldChar w:fldCharType="separate"/>
            </w:r>
            <w:r w:rsidR="0012240F">
              <w:rPr>
                <w:noProof/>
                <w:webHidden/>
              </w:rPr>
              <w:t>83</w:t>
            </w:r>
            <w:r w:rsidR="00E918EB">
              <w:rPr>
                <w:noProof/>
                <w:webHidden/>
              </w:rPr>
              <w:fldChar w:fldCharType="end"/>
            </w:r>
          </w:hyperlink>
        </w:p>
        <w:p w14:paraId="4A7FBAC6" w14:textId="2D87B1EA" w:rsidR="00E918EB" w:rsidRDefault="0016765E">
          <w:pPr>
            <w:pStyle w:val="TOC3"/>
            <w:rPr>
              <w:noProof/>
              <w:lang w:eastAsia="en-AU"/>
            </w:rPr>
          </w:pPr>
          <w:hyperlink w:anchor="_Toc501621244" w:history="1">
            <w:r w:rsidR="00E918EB" w:rsidRPr="00FA3C2D">
              <w:rPr>
                <w:rStyle w:val="Hyperlink"/>
                <w:noProof/>
              </w:rPr>
              <w:t>4.10.8   Social Media</w:t>
            </w:r>
            <w:r w:rsidR="00E918EB">
              <w:rPr>
                <w:noProof/>
                <w:webHidden/>
              </w:rPr>
              <w:tab/>
            </w:r>
            <w:r w:rsidR="00E918EB">
              <w:rPr>
                <w:noProof/>
                <w:webHidden/>
              </w:rPr>
              <w:fldChar w:fldCharType="begin"/>
            </w:r>
            <w:r w:rsidR="00E918EB">
              <w:rPr>
                <w:noProof/>
                <w:webHidden/>
              </w:rPr>
              <w:instrText xml:space="preserve"> PAGEREF _Toc501621244 \h </w:instrText>
            </w:r>
            <w:r w:rsidR="00E918EB">
              <w:rPr>
                <w:noProof/>
                <w:webHidden/>
              </w:rPr>
            </w:r>
            <w:r w:rsidR="00E918EB">
              <w:rPr>
                <w:noProof/>
                <w:webHidden/>
              </w:rPr>
              <w:fldChar w:fldCharType="separate"/>
            </w:r>
            <w:r w:rsidR="0012240F">
              <w:rPr>
                <w:noProof/>
                <w:webHidden/>
              </w:rPr>
              <w:t>84</w:t>
            </w:r>
            <w:r w:rsidR="00E918EB">
              <w:rPr>
                <w:noProof/>
                <w:webHidden/>
              </w:rPr>
              <w:fldChar w:fldCharType="end"/>
            </w:r>
          </w:hyperlink>
        </w:p>
        <w:p w14:paraId="212D2662" w14:textId="13D8F965" w:rsidR="00E918EB" w:rsidRDefault="0016765E">
          <w:pPr>
            <w:pStyle w:val="TOC3"/>
            <w:rPr>
              <w:noProof/>
              <w:lang w:eastAsia="en-AU"/>
            </w:rPr>
          </w:pPr>
          <w:hyperlink w:anchor="_Toc501621245" w:history="1">
            <w:r w:rsidR="00E918EB" w:rsidRPr="00FA3C2D">
              <w:rPr>
                <w:rStyle w:val="Hyperlink"/>
                <w:noProof/>
              </w:rPr>
              <w:t>4.10.9   Branding</w:t>
            </w:r>
            <w:r w:rsidR="00E918EB">
              <w:rPr>
                <w:noProof/>
                <w:webHidden/>
              </w:rPr>
              <w:tab/>
            </w:r>
            <w:r w:rsidR="00E918EB">
              <w:rPr>
                <w:noProof/>
                <w:webHidden/>
              </w:rPr>
              <w:fldChar w:fldCharType="begin"/>
            </w:r>
            <w:r w:rsidR="00E918EB">
              <w:rPr>
                <w:noProof/>
                <w:webHidden/>
              </w:rPr>
              <w:instrText xml:space="preserve"> PAGEREF _Toc501621245 \h </w:instrText>
            </w:r>
            <w:r w:rsidR="00E918EB">
              <w:rPr>
                <w:noProof/>
                <w:webHidden/>
              </w:rPr>
            </w:r>
            <w:r w:rsidR="00E918EB">
              <w:rPr>
                <w:noProof/>
                <w:webHidden/>
              </w:rPr>
              <w:fldChar w:fldCharType="separate"/>
            </w:r>
            <w:r w:rsidR="0012240F">
              <w:rPr>
                <w:noProof/>
                <w:webHidden/>
              </w:rPr>
              <w:t>84</w:t>
            </w:r>
            <w:r w:rsidR="00E918EB">
              <w:rPr>
                <w:noProof/>
                <w:webHidden/>
              </w:rPr>
              <w:fldChar w:fldCharType="end"/>
            </w:r>
          </w:hyperlink>
        </w:p>
        <w:p w14:paraId="5C263905" w14:textId="2540BE79" w:rsidR="00E918EB" w:rsidRDefault="0016765E">
          <w:pPr>
            <w:pStyle w:val="TOC3"/>
            <w:rPr>
              <w:noProof/>
              <w:lang w:eastAsia="en-AU"/>
            </w:rPr>
          </w:pPr>
          <w:hyperlink w:anchor="_Toc501621246" w:history="1">
            <w:r w:rsidR="00E918EB" w:rsidRPr="00FA3C2D">
              <w:rPr>
                <w:rStyle w:val="Hyperlink"/>
                <w:noProof/>
              </w:rPr>
              <w:t>4.10.10   Use of Brokers or Agents</w:t>
            </w:r>
            <w:r w:rsidR="00E918EB">
              <w:rPr>
                <w:noProof/>
                <w:webHidden/>
              </w:rPr>
              <w:tab/>
            </w:r>
            <w:r w:rsidR="00E918EB">
              <w:rPr>
                <w:noProof/>
                <w:webHidden/>
              </w:rPr>
              <w:fldChar w:fldCharType="begin"/>
            </w:r>
            <w:r w:rsidR="00E918EB">
              <w:rPr>
                <w:noProof/>
                <w:webHidden/>
              </w:rPr>
              <w:instrText xml:space="preserve"> PAGEREF _Toc501621246 \h </w:instrText>
            </w:r>
            <w:r w:rsidR="00E918EB">
              <w:rPr>
                <w:noProof/>
                <w:webHidden/>
              </w:rPr>
            </w:r>
            <w:r w:rsidR="00E918EB">
              <w:rPr>
                <w:noProof/>
                <w:webHidden/>
              </w:rPr>
              <w:fldChar w:fldCharType="separate"/>
            </w:r>
            <w:r w:rsidR="0012240F">
              <w:rPr>
                <w:noProof/>
                <w:webHidden/>
              </w:rPr>
              <w:t>84</w:t>
            </w:r>
            <w:r w:rsidR="00E918EB">
              <w:rPr>
                <w:noProof/>
                <w:webHidden/>
              </w:rPr>
              <w:fldChar w:fldCharType="end"/>
            </w:r>
          </w:hyperlink>
        </w:p>
        <w:p w14:paraId="4166503B" w14:textId="5860139B" w:rsidR="00E918EB" w:rsidRDefault="0016765E">
          <w:pPr>
            <w:pStyle w:val="TOC2"/>
            <w:rPr>
              <w:lang w:eastAsia="en-AU"/>
            </w:rPr>
          </w:pPr>
          <w:hyperlink w:anchor="_Toc501621247" w:history="1">
            <w:r w:rsidR="00E918EB" w:rsidRPr="00FA3C2D">
              <w:rPr>
                <w:rStyle w:val="Hyperlink"/>
              </w:rPr>
              <w:t>4.11 Provision of information to students</w:t>
            </w:r>
            <w:r w:rsidR="00E918EB">
              <w:rPr>
                <w:webHidden/>
              </w:rPr>
              <w:tab/>
            </w:r>
            <w:r w:rsidR="00E918EB">
              <w:rPr>
                <w:webHidden/>
              </w:rPr>
              <w:fldChar w:fldCharType="begin"/>
            </w:r>
            <w:r w:rsidR="00E918EB">
              <w:rPr>
                <w:webHidden/>
              </w:rPr>
              <w:instrText xml:space="preserve"> PAGEREF _Toc501621247 \h </w:instrText>
            </w:r>
            <w:r w:rsidR="00E918EB">
              <w:rPr>
                <w:webHidden/>
              </w:rPr>
            </w:r>
            <w:r w:rsidR="00E918EB">
              <w:rPr>
                <w:webHidden/>
              </w:rPr>
              <w:fldChar w:fldCharType="separate"/>
            </w:r>
            <w:r w:rsidR="0012240F">
              <w:rPr>
                <w:webHidden/>
              </w:rPr>
              <w:t>85</w:t>
            </w:r>
            <w:r w:rsidR="00E918EB">
              <w:rPr>
                <w:webHidden/>
              </w:rPr>
              <w:fldChar w:fldCharType="end"/>
            </w:r>
          </w:hyperlink>
        </w:p>
        <w:p w14:paraId="0D20B1FE" w14:textId="51C984E6" w:rsidR="00E918EB" w:rsidRDefault="0016765E">
          <w:pPr>
            <w:pStyle w:val="TOC3"/>
            <w:rPr>
              <w:noProof/>
              <w:lang w:eastAsia="en-AU"/>
            </w:rPr>
          </w:pPr>
          <w:hyperlink w:anchor="_Toc501621248" w:history="1">
            <w:r w:rsidR="00E918EB" w:rsidRPr="00FA3C2D">
              <w:rPr>
                <w:rStyle w:val="Hyperlink"/>
                <w:noProof/>
              </w:rPr>
              <w:t>4.11.1 Providing information before enrolment</w:t>
            </w:r>
            <w:r w:rsidR="00E918EB">
              <w:rPr>
                <w:noProof/>
                <w:webHidden/>
              </w:rPr>
              <w:tab/>
            </w:r>
            <w:r w:rsidR="00E918EB">
              <w:rPr>
                <w:noProof/>
                <w:webHidden/>
              </w:rPr>
              <w:fldChar w:fldCharType="begin"/>
            </w:r>
            <w:r w:rsidR="00E918EB">
              <w:rPr>
                <w:noProof/>
                <w:webHidden/>
              </w:rPr>
              <w:instrText xml:space="preserve"> PAGEREF _Toc501621248 \h </w:instrText>
            </w:r>
            <w:r w:rsidR="00E918EB">
              <w:rPr>
                <w:noProof/>
                <w:webHidden/>
              </w:rPr>
            </w:r>
            <w:r w:rsidR="00E918EB">
              <w:rPr>
                <w:noProof/>
                <w:webHidden/>
              </w:rPr>
              <w:fldChar w:fldCharType="separate"/>
            </w:r>
            <w:r w:rsidR="0012240F">
              <w:rPr>
                <w:noProof/>
                <w:webHidden/>
              </w:rPr>
              <w:t>85</w:t>
            </w:r>
            <w:r w:rsidR="00E918EB">
              <w:rPr>
                <w:noProof/>
                <w:webHidden/>
              </w:rPr>
              <w:fldChar w:fldCharType="end"/>
            </w:r>
          </w:hyperlink>
        </w:p>
        <w:p w14:paraId="3A59067C" w14:textId="79559880" w:rsidR="00E918EB" w:rsidRDefault="0016765E">
          <w:pPr>
            <w:pStyle w:val="TOC3"/>
            <w:rPr>
              <w:noProof/>
              <w:lang w:eastAsia="en-AU"/>
            </w:rPr>
          </w:pPr>
          <w:hyperlink w:anchor="_Toc501621249" w:history="1">
            <w:r w:rsidR="00E918EB" w:rsidRPr="00FA3C2D">
              <w:rPr>
                <w:rStyle w:val="Hyperlink"/>
                <w:noProof/>
              </w:rPr>
              <w:t>4.11.2   Providing a VET Student Loan Statement of Covered Fees</w:t>
            </w:r>
            <w:r w:rsidR="00E918EB">
              <w:rPr>
                <w:noProof/>
                <w:webHidden/>
              </w:rPr>
              <w:tab/>
            </w:r>
            <w:r w:rsidR="00E918EB">
              <w:rPr>
                <w:noProof/>
                <w:webHidden/>
              </w:rPr>
              <w:fldChar w:fldCharType="begin"/>
            </w:r>
            <w:r w:rsidR="00E918EB">
              <w:rPr>
                <w:noProof/>
                <w:webHidden/>
              </w:rPr>
              <w:instrText xml:space="preserve"> PAGEREF _Toc501621249 \h </w:instrText>
            </w:r>
            <w:r w:rsidR="00E918EB">
              <w:rPr>
                <w:noProof/>
                <w:webHidden/>
              </w:rPr>
            </w:r>
            <w:r w:rsidR="00E918EB">
              <w:rPr>
                <w:noProof/>
                <w:webHidden/>
              </w:rPr>
              <w:fldChar w:fldCharType="separate"/>
            </w:r>
            <w:r w:rsidR="0012240F">
              <w:rPr>
                <w:noProof/>
                <w:webHidden/>
              </w:rPr>
              <w:t>85</w:t>
            </w:r>
            <w:r w:rsidR="00E918EB">
              <w:rPr>
                <w:noProof/>
                <w:webHidden/>
              </w:rPr>
              <w:fldChar w:fldCharType="end"/>
            </w:r>
          </w:hyperlink>
        </w:p>
        <w:p w14:paraId="045A9925" w14:textId="197220A4" w:rsidR="00E918EB" w:rsidRDefault="0016765E">
          <w:pPr>
            <w:pStyle w:val="TOC3"/>
            <w:rPr>
              <w:noProof/>
              <w:lang w:eastAsia="en-AU"/>
            </w:rPr>
          </w:pPr>
          <w:hyperlink w:anchor="_Toc501621250" w:history="1">
            <w:r w:rsidR="00E918EB" w:rsidRPr="00FA3C2D">
              <w:rPr>
                <w:rStyle w:val="Hyperlink"/>
                <w:noProof/>
              </w:rPr>
              <w:t>4.11.3   Providing a VET Student Loan Fee Notice</w:t>
            </w:r>
            <w:r w:rsidR="00E918EB">
              <w:rPr>
                <w:noProof/>
                <w:webHidden/>
              </w:rPr>
              <w:tab/>
            </w:r>
            <w:r w:rsidR="00E918EB">
              <w:rPr>
                <w:noProof/>
                <w:webHidden/>
              </w:rPr>
              <w:fldChar w:fldCharType="begin"/>
            </w:r>
            <w:r w:rsidR="00E918EB">
              <w:rPr>
                <w:noProof/>
                <w:webHidden/>
              </w:rPr>
              <w:instrText xml:space="preserve"> PAGEREF _Toc501621250 \h </w:instrText>
            </w:r>
            <w:r w:rsidR="00E918EB">
              <w:rPr>
                <w:noProof/>
                <w:webHidden/>
              </w:rPr>
            </w:r>
            <w:r w:rsidR="00E918EB">
              <w:rPr>
                <w:noProof/>
                <w:webHidden/>
              </w:rPr>
              <w:fldChar w:fldCharType="separate"/>
            </w:r>
            <w:r w:rsidR="0012240F">
              <w:rPr>
                <w:noProof/>
                <w:webHidden/>
              </w:rPr>
              <w:t>86</w:t>
            </w:r>
            <w:r w:rsidR="00E918EB">
              <w:rPr>
                <w:noProof/>
                <w:webHidden/>
              </w:rPr>
              <w:fldChar w:fldCharType="end"/>
            </w:r>
          </w:hyperlink>
        </w:p>
        <w:p w14:paraId="22B1C89B" w14:textId="1EAC1B40" w:rsidR="00E918EB" w:rsidRDefault="0016765E">
          <w:pPr>
            <w:pStyle w:val="TOC3"/>
            <w:rPr>
              <w:noProof/>
              <w:lang w:eastAsia="en-AU"/>
            </w:rPr>
          </w:pPr>
          <w:hyperlink w:anchor="_Toc501621251" w:history="1">
            <w:r w:rsidR="00E918EB" w:rsidRPr="00FA3C2D">
              <w:rPr>
                <w:rStyle w:val="Hyperlink"/>
                <w:noProof/>
              </w:rPr>
              <w:t>4.11.4   Providing a Commonwealth Assistance Notice</w:t>
            </w:r>
            <w:r w:rsidR="00E918EB">
              <w:rPr>
                <w:noProof/>
                <w:webHidden/>
              </w:rPr>
              <w:tab/>
            </w:r>
            <w:r w:rsidR="00E918EB">
              <w:rPr>
                <w:noProof/>
                <w:webHidden/>
              </w:rPr>
              <w:fldChar w:fldCharType="begin"/>
            </w:r>
            <w:r w:rsidR="00E918EB">
              <w:rPr>
                <w:noProof/>
                <w:webHidden/>
              </w:rPr>
              <w:instrText xml:space="preserve"> PAGEREF _Toc501621251 \h </w:instrText>
            </w:r>
            <w:r w:rsidR="00E918EB">
              <w:rPr>
                <w:noProof/>
                <w:webHidden/>
              </w:rPr>
            </w:r>
            <w:r w:rsidR="00E918EB">
              <w:rPr>
                <w:noProof/>
                <w:webHidden/>
              </w:rPr>
              <w:fldChar w:fldCharType="separate"/>
            </w:r>
            <w:r w:rsidR="0012240F">
              <w:rPr>
                <w:noProof/>
                <w:webHidden/>
              </w:rPr>
              <w:t>87</w:t>
            </w:r>
            <w:r w:rsidR="00E918EB">
              <w:rPr>
                <w:noProof/>
                <w:webHidden/>
              </w:rPr>
              <w:fldChar w:fldCharType="end"/>
            </w:r>
          </w:hyperlink>
        </w:p>
        <w:p w14:paraId="1969A393" w14:textId="0B1CE872" w:rsidR="00E918EB" w:rsidRDefault="0016765E">
          <w:pPr>
            <w:pStyle w:val="TOC3"/>
            <w:rPr>
              <w:noProof/>
              <w:lang w:eastAsia="en-AU"/>
            </w:rPr>
          </w:pPr>
          <w:hyperlink w:anchor="_Toc501621252" w:history="1">
            <w:r w:rsidR="00E918EB" w:rsidRPr="00FA3C2D">
              <w:rPr>
                <w:rStyle w:val="Hyperlink"/>
                <w:noProof/>
              </w:rPr>
              <w:t>4.11.5   How notices are to be provided</w:t>
            </w:r>
            <w:r w:rsidR="00E918EB">
              <w:rPr>
                <w:noProof/>
                <w:webHidden/>
              </w:rPr>
              <w:tab/>
            </w:r>
            <w:r w:rsidR="00E918EB">
              <w:rPr>
                <w:noProof/>
                <w:webHidden/>
              </w:rPr>
              <w:fldChar w:fldCharType="begin"/>
            </w:r>
            <w:r w:rsidR="00E918EB">
              <w:rPr>
                <w:noProof/>
                <w:webHidden/>
              </w:rPr>
              <w:instrText xml:space="preserve"> PAGEREF _Toc501621252 \h </w:instrText>
            </w:r>
            <w:r w:rsidR="00E918EB">
              <w:rPr>
                <w:noProof/>
                <w:webHidden/>
              </w:rPr>
            </w:r>
            <w:r w:rsidR="00E918EB">
              <w:rPr>
                <w:noProof/>
                <w:webHidden/>
              </w:rPr>
              <w:fldChar w:fldCharType="separate"/>
            </w:r>
            <w:r w:rsidR="0012240F">
              <w:rPr>
                <w:noProof/>
                <w:webHidden/>
              </w:rPr>
              <w:t>88</w:t>
            </w:r>
            <w:r w:rsidR="00E918EB">
              <w:rPr>
                <w:noProof/>
                <w:webHidden/>
              </w:rPr>
              <w:fldChar w:fldCharType="end"/>
            </w:r>
          </w:hyperlink>
        </w:p>
        <w:p w14:paraId="04B4F9E6" w14:textId="0899B8CA" w:rsidR="00E918EB" w:rsidRDefault="0016765E">
          <w:pPr>
            <w:pStyle w:val="TOC2"/>
            <w:rPr>
              <w:lang w:eastAsia="en-AU"/>
            </w:rPr>
          </w:pPr>
          <w:hyperlink w:anchor="_Toc501621253" w:history="1">
            <w:r w:rsidR="00E918EB" w:rsidRPr="00FA3C2D">
              <w:rPr>
                <w:rStyle w:val="Hyperlink"/>
              </w:rPr>
              <w:t>4.12 Retaining information and documents</w:t>
            </w:r>
            <w:r w:rsidR="00E918EB">
              <w:rPr>
                <w:webHidden/>
              </w:rPr>
              <w:tab/>
            </w:r>
            <w:r w:rsidR="00E918EB">
              <w:rPr>
                <w:webHidden/>
              </w:rPr>
              <w:fldChar w:fldCharType="begin"/>
            </w:r>
            <w:r w:rsidR="00E918EB">
              <w:rPr>
                <w:webHidden/>
              </w:rPr>
              <w:instrText xml:space="preserve"> PAGEREF _Toc501621253 \h </w:instrText>
            </w:r>
            <w:r w:rsidR="00E918EB">
              <w:rPr>
                <w:webHidden/>
              </w:rPr>
            </w:r>
            <w:r w:rsidR="00E918EB">
              <w:rPr>
                <w:webHidden/>
              </w:rPr>
              <w:fldChar w:fldCharType="separate"/>
            </w:r>
            <w:r w:rsidR="0012240F">
              <w:rPr>
                <w:webHidden/>
              </w:rPr>
              <w:t>88</w:t>
            </w:r>
            <w:r w:rsidR="00E918EB">
              <w:rPr>
                <w:webHidden/>
              </w:rPr>
              <w:fldChar w:fldCharType="end"/>
            </w:r>
          </w:hyperlink>
        </w:p>
        <w:p w14:paraId="2DE3A893" w14:textId="6142CCA9" w:rsidR="00E918EB" w:rsidRDefault="0016765E">
          <w:pPr>
            <w:pStyle w:val="TOC2"/>
            <w:rPr>
              <w:lang w:eastAsia="en-AU"/>
            </w:rPr>
          </w:pPr>
          <w:hyperlink w:anchor="_Toc501621254" w:history="1">
            <w:r w:rsidR="00E918EB" w:rsidRPr="00FA3C2D">
              <w:rPr>
                <w:rStyle w:val="Hyperlink"/>
              </w:rPr>
              <w:t>4.13 Dealing with personal information</w:t>
            </w:r>
            <w:r w:rsidR="00E918EB">
              <w:rPr>
                <w:webHidden/>
              </w:rPr>
              <w:tab/>
            </w:r>
            <w:r w:rsidR="00E918EB">
              <w:rPr>
                <w:webHidden/>
              </w:rPr>
              <w:fldChar w:fldCharType="begin"/>
            </w:r>
            <w:r w:rsidR="00E918EB">
              <w:rPr>
                <w:webHidden/>
              </w:rPr>
              <w:instrText xml:space="preserve"> PAGEREF _Toc501621254 \h </w:instrText>
            </w:r>
            <w:r w:rsidR="00E918EB">
              <w:rPr>
                <w:webHidden/>
              </w:rPr>
            </w:r>
            <w:r w:rsidR="00E918EB">
              <w:rPr>
                <w:webHidden/>
              </w:rPr>
              <w:fldChar w:fldCharType="separate"/>
            </w:r>
            <w:r w:rsidR="0012240F">
              <w:rPr>
                <w:webHidden/>
              </w:rPr>
              <w:t>88</w:t>
            </w:r>
            <w:r w:rsidR="00E918EB">
              <w:rPr>
                <w:webHidden/>
              </w:rPr>
              <w:fldChar w:fldCharType="end"/>
            </w:r>
          </w:hyperlink>
        </w:p>
        <w:p w14:paraId="11C6D5D7" w14:textId="061A842D" w:rsidR="00E918EB" w:rsidRDefault="0016765E">
          <w:pPr>
            <w:pStyle w:val="TOC2"/>
            <w:rPr>
              <w:lang w:eastAsia="en-AU"/>
            </w:rPr>
          </w:pPr>
          <w:hyperlink w:anchor="_Toc501621255" w:history="1">
            <w:r w:rsidR="00E918EB" w:rsidRPr="00FA3C2D">
              <w:rPr>
                <w:rStyle w:val="Hyperlink"/>
              </w:rPr>
              <w:t>4.14 Data reporting</w:t>
            </w:r>
            <w:r w:rsidR="00E918EB">
              <w:rPr>
                <w:webHidden/>
              </w:rPr>
              <w:tab/>
            </w:r>
            <w:r w:rsidR="00E918EB">
              <w:rPr>
                <w:webHidden/>
              </w:rPr>
              <w:fldChar w:fldCharType="begin"/>
            </w:r>
            <w:r w:rsidR="00E918EB">
              <w:rPr>
                <w:webHidden/>
              </w:rPr>
              <w:instrText xml:space="preserve"> PAGEREF _Toc501621255 \h </w:instrText>
            </w:r>
            <w:r w:rsidR="00E918EB">
              <w:rPr>
                <w:webHidden/>
              </w:rPr>
            </w:r>
            <w:r w:rsidR="00E918EB">
              <w:rPr>
                <w:webHidden/>
              </w:rPr>
              <w:fldChar w:fldCharType="separate"/>
            </w:r>
            <w:r w:rsidR="0012240F">
              <w:rPr>
                <w:webHidden/>
              </w:rPr>
              <w:t>89</w:t>
            </w:r>
            <w:r w:rsidR="00E918EB">
              <w:rPr>
                <w:webHidden/>
              </w:rPr>
              <w:fldChar w:fldCharType="end"/>
            </w:r>
          </w:hyperlink>
        </w:p>
        <w:p w14:paraId="140642B2" w14:textId="30E30352" w:rsidR="00E918EB" w:rsidRDefault="0016765E">
          <w:pPr>
            <w:pStyle w:val="TOC3"/>
            <w:rPr>
              <w:noProof/>
              <w:lang w:eastAsia="en-AU"/>
            </w:rPr>
          </w:pPr>
          <w:hyperlink w:anchor="_Toc501621256" w:history="1">
            <w:r w:rsidR="00E918EB" w:rsidRPr="00FA3C2D">
              <w:rPr>
                <w:rStyle w:val="Hyperlink"/>
                <w:noProof/>
              </w:rPr>
              <w:t>4.14.1   Equivalent Full time Study Load</w:t>
            </w:r>
            <w:r w:rsidR="00E918EB">
              <w:rPr>
                <w:noProof/>
                <w:webHidden/>
              </w:rPr>
              <w:tab/>
            </w:r>
            <w:r w:rsidR="00E918EB">
              <w:rPr>
                <w:noProof/>
                <w:webHidden/>
              </w:rPr>
              <w:fldChar w:fldCharType="begin"/>
            </w:r>
            <w:r w:rsidR="00E918EB">
              <w:rPr>
                <w:noProof/>
                <w:webHidden/>
              </w:rPr>
              <w:instrText xml:space="preserve"> PAGEREF _Toc501621256 \h </w:instrText>
            </w:r>
            <w:r w:rsidR="00E918EB">
              <w:rPr>
                <w:noProof/>
                <w:webHidden/>
              </w:rPr>
            </w:r>
            <w:r w:rsidR="00E918EB">
              <w:rPr>
                <w:noProof/>
                <w:webHidden/>
              </w:rPr>
              <w:fldChar w:fldCharType="separate"/>
            </w:r>
            <w:r w:rsidR="0012240F">
              <w:rPr>
                <w:noProof/>
                <w:webHidden/>
              </w:rPr>
              <w:t>90</w:t>
            </w:r>
            <w:r w:rsidR="00E918EB">
              <w:rPr>
                <w:noProof/>
                <w:webHidden/>
              </w:rPr>
              <w:fldChar w:fldCharType="end"/>
            </w:r>
          </w:hyperlink>
        </w:p>
        <w:p w14:paraId="4F3952DF" w14:textId="674EBFC3" w:rsidR="00E918EB" w:rsidRDefault="0016765E">
          <w:pPr>
            <w:pStyle w:val="TOC3"/>
            <w:rPr>
              <w:noProof/>
              <w:lang w:eastAsia="en-AU"/>
            </w:rPr>
          </w:pPr>
          <w:hyperlink w:anchor="_Toc501621257" w:history="1">
            <w:r w:rsidR="00E918EB" w:rsidRPr="00FA3C2D">
              <w:rPr>
                <w:rStyle w:val="Hyperlink"/>
                <w:noProof/>
              </w:rPr>
              <w:t>4.14.2   What data needs to be reported?</w:t>
            </w:r>
            <w:r w:rsidR="00E918EB">
              <w:rPr>
                <w:noProof/>
                <w:webHidden/>
              </w:rPr>
              <w:tab/>
            </w:r>
            <w:r w:rsidR="00E918EB">
              <w:rPr>
                <w:noProof/>
                <w:webHidden/>
              </w:rPr>
              <w:fldChar w:fldCharType="begin"/>
            </w:r>
            <w:r w:rsidR="00E918EB">
              <w:rPr>
                <w:noProof/>
                <w:webHidden/>
              </w:rPr>
              <w:instrText xml:space="preserve"> PAGEREF _Toc501621257 \h </w:instrText>
            </w:r>
            <w:r w:rsidR="00E918EB">
              <w:rPr>
                <w:noProof/>
                <w:webHidden/>
              </w:rPr>
            </w:r>
            <w:r w:rsidR="00E918EB">
              <w:rPr>
                <w:noProof/>
                <w:webHidden/>
              </w:rPr>
              <w:fldChar w:fldCharType="separate"/>
            </w:r>
            <w:r w:rsidR="0012240F">
              <w:rPr>
                <w:noProof/>
                <w:webHidden/>
              </w:rPr>
              <w:t>90</w:t>
            </w:r>
            <w:r w:rsidR="00E918EB">
              <w:rPr>
                <w:noProof/>
                <w:webHidden/>
              </w:rPr>
              <w:fldChar w:fldCharType="end"/>
            </w:r>
          </w:hyperlink>
        </w:p>
        <w:p w14:paraId="652D154B" w14:textId="7AE0CFA3" w:rsidR="00E918EB" w:rsidRDefault="0016765E">
          <w:pPr>
            <w:pStyle w:val="TOC3"/>
            <w:rPr>
              <w:noProof/>
              <w:lang w:eastAsia="en-AU"/>
            </w:rPr>
          </w:pPr>
          <w:hyperlink w:anchor="_Toc501621258" w:history="1">
            <w:r w:rsidR="00E918EB" w:rsidRPr="00FA3C2D">
              <w:rPr>
                <w:rStyle w:val="Hyperlink"/>
                <w:noProof/>
              </w:rPr>
              <w:t>4.14.3   Data certification</w:t>
            </w:r>
            <w:r w:rsidR="00E918EB">
              <w:rPr>
                <w:noProof/>
                <w:webHidden/>
              </w:rPr>
              <w:tab/>
            </w:r>
            <w:r w:rsidR="00E918EB">
              <w:rPr>
                <w:noProof/>
                <w:webHidden/>
              </w:rPr>
              <w:fldChar w:fldCharType="begin"/>
            </w:r>
            <w:r w:rsidR="00E918EB">
              <w:rPr>
                <w:noProof/>
                <w:webHidden/>
              </w:rPr>
              <w:instrText xml:space="preserve"> PAGEREF _Toc501621258 \h </w:instrText>
            </w:r>
            <w:r w:rsidR="00E918EB">
              <w:rPr>
                <w:noProof/>
                <w:webHidden/>
              </w:rPr>
            </w:r>
            <w:r w:rsidR="00E918EB">
              <w:rPr>
                <w:noProof/>
                <w:webHidden/>
              </w:rPr>
              <w:fldChar w:fldCharType="separate"/>
            </w:r>
            <w:r w:rsidR="0012240F">
              <w:rPr>
                <w:noProof/>
                <w:webHidden/>
              </w:rPr>
              <w:t>90</w:t>
            </w:r>
            <w:r w:rsidR="00E918EB">
              <w:rPr>
                <w:noProof/>
                <w:webHidden/>
              </w:rPr>
              <w:fldChar w:fldCharType="end"/>
            </w:r>
          </w:hyperlink>
        </w:p>
        <w:p w14:paraId="0D96C7C0" w14:textId="676A5AF2" w:rsidR="00E918EB" w:rsidRDefault="0016765E">
          <w:pPr>
            <w:pStyle w:val="TOC3"/>
            <w:rPr>
              <w:noProof/>
              <w:lang w:eastAsia="en-AU"/>
            </w:rPr>
          </w:pPr>
          <w:hyperlink w:anchor="_Toc501621259" w:history="1">
            <w:r w:rsidR="00E918EB" w:rsidRPr="00FA3C2D">
              <w:rPr>
                <w:rStyle w:val="Hyperlink"/>
                <w:noProof/>
              </w:rPr>
              <w:t>4.14.4   Reporting deadlines</w:t>
            </w:r>
            <w:r w:rsidR="00E918EB">
              <w:rPr>
                <w:noProof/>
                <w:webHidden/>
              </w:rPr>
              <w:tab/>
            </w:r>
            <w:r w:rsidR="00E918EB">
              <w:rPr>
                <w:noProof/>
                <w:webHidden/>
              </w:rPr>
              <w:fldChar w:fldCharType="begin"/>
            </w:r>
            <w:r w:rsidR="00E918EB">
              <w:rPr>
                <w:noProof/>
                <w:webHidden/>
              </w:rPr>
              <w:instrText xml:space="preserve"> PAGEREF _Toc501621259 \h </w:instrText>
            </w:r>
            <w:r w:rsidR="00E918EB">
              <w:rPr>
                <w:noProof/>
                <w:webHidden/>
              </w:rPr>
            </w:r>
            <w:r w:rsidR="00E918EB">
              <w:rPr>
                <w:noProof/>
                <w:webHidden/>
              </w:rPr>
              <w:fldChar w:fldCharType="separate"/>
            </w:r>
            <w:r w:rsidR="0012240F">
              <w:rPr>
                <w:noProof/>
                <w:webHidden/>
              </w:rPr>
              <w:t>91</w:t>
            </w:r>
            <w:r w:rsidR="00E918EB">
              <w:rPr>
                <w:noProof/>
                <w:webHidden/>
              </w:rPr>
              <w:fldChar w:fldCharType="end"/>
            </w:r>
          </w:hyperlink>
        </w:p>
        <w:p w14:paraId="6C79BAA2" w14:textId="29270CE4" w:rsidR="00E918EB" w:rsidRDefault="0016765E">
          <w:pPr>
            <w:pStyle w:val="TOC3"/>
            <w:rPr>
              <w:noProof/>
              <w:lang w:eastAsia="en-AU"/>
            </w:rPr>
          </w:pPr>
          <w:hyperlink w:anchor="_Toc501621260" w:history="1">
            <w:r w:rsidR="00E918EB" w:rsidRPr="00FA3C2D">
              <w:rPr>
                <w:rStyle w:val="Hyperlink"/>
                <w:noProof/>
              </w:rPr>
              <w:t xml:space="preserve">4.14.5 </w:t>
            </w:r>
            <w:r w:rsidR="00E918EB">
              <w:rPr>
                <w:noProof/>
                <w:lang w:eastAsia="en-AU"/>
              </w:rPr>
              <w:tab/>
            </w:r>
            <w:r w:rsidR="00E918EB" w:rsidRPr="00FA3C2D">
              <w:rPr>
                <w:rStyle w:val="Hyperlink"/>
                <w:noProof/>
              </w:rPr>
              <w:t>Publishing data</w:t>
            </w:r>
            <w:r w:rsidR="00E918EB">
              <w:rPr>
                <w:noProof/>
                <w:webHidden/>
              </w:rPr>
              <w:tab/>
            </w:r>
            <w:r w:rsidR="00E918EB">
              <w:rPr>
                <w:noProof/>
                <w:webHidden/>
              </w:rPr>
              <w:fldChar w:fldCharType="begin"/>
            </w:r>
            <w:r w:rsidR="00E918EB">
              <w:rPr>
                <w:noProof/>
                <w:webHidden/>
              </w:rPr>
              <w:instrText xml:space="preserve"> PAGEREF _Toc501621260 \h </w:instrText>
            </w:r>
            <w:r w:rsidR="00E918EB">
              <w:rPr>
                <w:noProof/>
                <w:webHidden/>
              </w:rPr>
            </w:r>
            <w:r w:rsidR="00E918EB">
              <w:rPr>
                <w:noProof/>
                <w:webHidden/>
              </w:rPr>
              <w:fldChar w:fldCharType="separate"/>
            </w:r>
            <w:r w:rsidR="0012240F">
              <w:rPr>
                <w:noProof/>
                <w:webHidden/>
              </w:rPr>
              <w:t>91</w:t>
            </w:r>
            <w:r w:rsidR="00E918EB">
              <w:rPr>
                <w:noProof/>
                <w:webHidden/>
              </w:rPr>
              <w:fldChar w:fldCharType="end"/>
            </w:r>
          </w:hyperlink>
        </w:p>
        <w:p w14:paraId="14F9C74D" w14:textId="0B016CB2" w:rsidR="00E918EB" w:rsidRDefault="0016765E">
          <w:pPr>
            <w:pStyle w:val="TOC3"/>
            <w:rPr>
              <w:noProof/>
              <w:lang w:eastAsia="en-AU"/>
            </w:rPr>
          </w:pPr>
          <w:hyperlink w:anchor="_Toc501621261" w:history="1">
            <w:r w:rsidR="00E918EB" w:rsidRPr="00FA3C2D">
              <w:rPr>
                <w:rStyle w:val="Hyperlink"/>
                <w:noProof/>
              </w:rPr>
              <w:t xml:space="preserve">4.14.6 </w:t>
            </w:r>
            <w:r w:rsidR="00E918EB">
              <w:rPr>
                <w:noProof/>
                <w:lang w:eastAsia="en-AU"/>
              </w:rPr>
              <w:tab/>
            </w:r>
            <w:r w:rsidR="00E918EB" w:rsidRPr="00FA3C2D">
              <w:rPr>
                <w:rStyle w:val="Hyperlink"/>
                <w:noProof/>
              </w:rPr>
              <w:t>Electronic communications</w:t>
            </w:r>
            <w:r w:rsidR="00E918EB">
              <w:rPr>
                <w:noProof/>
                <w:webHidden/>
              </w:rPr>
              <w:tab/>
            </w:r>
            <w:r w:rsidR="00E918EB">
              <w:rPr>
                <w:noProof/>
                <w:webHidden/>
              </w:rPr>
              <w:fldChar w:fldCharType="begin"/>
            </w:r>
            <w:r w:rsidR="00E918EB">
              <w:rPr>
                <w:noProof/>
                <w:webHidden/>
              </w:rPr>
              <w:instrText xml:space="preserve"> PAGEREF _Toc501621261 \h </w:instrText>
            </w:r>
            <w:r w:rsidR="00E918EB">
              <w:rPr>
                <w:noProof/>
                <w:webHidden/>
              </w:rPr>
            </w:r>
            <w:r w:rsidR="00E918EB">
              <w:rPr>
                <w:noProof/>
                <w:webHidden/>
              </w:rPr>
              <w:fldChar w:fldCharType="separate"/>
            </w:r>
            <w:r w:rsidR="0012240F">
              <w:rPr>
                <w:noProof/>
                <w:webHidden/>
              </w:rPr>
              <w:t>91</w:t>
            </w:r>
            <w:r w:rsidR="00E918EB">
              <w:rPr>
                <w:noProof/>
                <w:webHidden/>
              </w:rPr>
              <w:fldChar w:fldCharType="end"/>
            </w:r>
          </w:hyperlink>
        </w:p>
        <w:p w14:paraId="4D5F7E8F" w14:textId="17628CC4" w:rsidR="00E918EB" w:rsidRDefault="0016765E">
          <w:pPr>
            <w:pStyle w:val="TOC3"/>
            <w:rPr>
              <w:noProof/>
              <w:lang w:eastAsia="en-AU"/>
            </w:rPr>
          </w:pPr>
          <w:hyperlink w:anchor="_Toc501621262" w:history="1">
            <w:r w:rsidR="00E918EB" w:rsidRPr="00FA3C2D">
              <w:rPr>
                <w:rStyle w:val="Hyperlink"/>
                <w:noProof/>
              </w:rPr>
              <w:t xml:space="preserve">4.14.7 </w:t>
            </w:r>
            <w:r w:rsidR="00E918EB">
              <w:rPr>
                <w:noProof/>
                <w:lang w:eastAsia="en-AU"/>
              </w:rPr>
              <w:tab/>
            </w:r>
            <w:r w:rsidR="00E918EB" w:rsidRPr="00FA3C2D">
              <w:rPr>
                <w:rStyle w:val="Hyperlink"/>
                <w:noProof/>
              </w:rPr>
              <w:t>Electronic communications between students and providers</w:t>
            </w:r>
            <w:r w:rsidR="00E918EB">
              <w:rPr>
                <w:noProof/>
                <w:webHidden/>
              </w:rPr>
              <w:tab/>
            </w:r>
            <w:r w:rsidR="00E918EB">
              <w:rPr>
                <w:noProof/>
                <w:webHidden/>
              </w:rPr>
              <w:fldChar w:fldCharType="begin"/>
            </w:r>
            <w:r w:rsidR="00E918EB">
              <w:rPr>
                <w:noProof/>
                <w:webHidden/>
              </w:rPr>
              <w:instrText xml:space="preserve"> PAGEREF _Toc501621262 \h </w:instrText>
            </w:r>
            <w:r w:rsidR="00E918EB">
              <w:rPr>
                <w:noProof/>
                <w:webHidden/>
              </w:rPr>
            </w:r>
            <w:r w:rsidR="00E918EB">
              <w:rPr>
                <w:noProof/>
                <w:webHidden/>
              </w:rPr>
              <w:fldChar w:fldCharType="separate"/>
            </w:r>
            <w:r w:rsidR="0012240F">
              <w:rPr>
                <w:noProof/>
                <w:webHidden/>
              </w:rPr>
              <w:t>92</w:t>
            </w:r>
            <w:r w:rsidR="00E918EB">
              <w:rPr>
                <w:noProof/>
                <w:webHidden/>
              </w:rPr>
              <w:fldChar w:fldCharType="end"/>
            </w:r>
          </w:hyperlink>
        </w:p>
        <w:p w14:paraId="63870685" w14:textId="4E04AAC6" w:rsidR="00E918EB" w:rsidRDefault="0016765E">
          <w:pPr>
            <w:pStyle w:val="TOC1"/>
            <w:rPr>
              <w:lang w:eastAsia="en-AU"/>
            </w:rPr>
          </w:pPr>
          <w:hyperlink w:anchor="_Toc501621263" w:history="1">
            <w:r w:rsidR="00E918EB" w:rsidRPr="00FA3C2D">
              <w:rPr>
                <w:rStyle w:val="Hyperlink"/>
              </w:rPr>
              <w:t>5. Payments to approved course providers</w:t>
            </w:r>
            <w:r w:rsidR="00E918EB">
              <w:rPr>
                <w:webHidden/>
              </w:rPr>
              <w:tab/>
            </w:r>
            <w:r w:rsidR="00E918EB">
              <w:rPr>
                <w:webHidden/>
              </w:rPr>
              <w:fldChar w:fldCharType="begin"/>
            </w:r>
            <w:r w:rsidR="00E918EB">
              <w:rPr>
                <w:webHidden/>
              </w:rPr>
              <w:instrText xml:space="preserve"> PAGEREF _Toc501621263 \h </w:instrText>
            </w:r>
            <w:r w:rsidR="00E918EB">
              <w:rPr>
                <w:webHidden/>
              </w:rPr>
            </w:r>
            <w:r w:rsidR="00E918EB">
              <w:rPr>
                <w:webHidden/>
              </w:rPr>
              <w:fldChar w:fldCharType="separate"/>
            </w:r>
            <w:r w:rsidR="0012240F">
              <w:rPr>
                <w:webHidden/>
              </w:rPr>
              <w:t>93</w:t>
            </w:r>
            <w:r w:rsidR="00E918EB">
              <w:rPr>
                <w:webHidden/>
              </w:rPr>
              <w:fldChar w:fldCharType="end"/>
            </w:r>
          </w:hyperlink>
        </w:p>
        <w:p w14:paraId="4E11FC99" w14:textId="52AE606D" w:rsidR="00E918EB" w:rsidRDefault="0016765E">
          <w:pPr>
            <w:pStyle w:val="TOC2"/>
            <w:rPr>
              <w:lang w:eastAsia="en-AU"/>
            </w:rPr>
          </w:pPr>
          <w:hyperlink w:anchor="_Toc501621264" w:history="1">
            <w:r w:rsidR="00E918EB" w:rsidRPr="00FA3C2D">
              <w:rPr>
                <w:rStyle w:val="Hyperlink"/>
              </w:rPr>
              <w:t>5.1 Provider fee limit</w:t>
            </w:r>
            <w:r w:rsidR="00E918EB">
              <w:rPr>
                <w:webHidden/>
              </w:rPr>
              <w:tab/>
            </w:r>
            <w:r w:rsidR="00E918EB">
              <w:rPr>
                <w:webHidden/>
              </w:rPr>
              <w:fldChar w:fldCharType="begin"/>
            </w:r>
            <w:r w:rsidR="00E918EB">
              <w:rPr>
                <w:webHidden/>
              </w:rPr>
              <w:instrText xml:space="preserve"> PAGEREF _Toc501621264 \h </w:instrText>
            </w:r>
            <w:r w:rsidR="00E918EB">
              <w:rPr>
                <w:webHidden/>
              </w:rPr>
            </w:r>
            <w:r w:rsidR="00E918EB">
              <w:rPr>
                <w:webHidden/>
              </w:rPr>
              <w:fldChar w:fldCharType="separate"/>
            </w:r>
            <w:r w:rsidR="0012240F">
              <w:rPr>
                <w:webHidden/>
              </w:rPr>
              <w:t>93</w:t>
            </w:r>
            <w:r w:rsidR="00E918EB">
              <w:rPr>
                <w:webHidden/>
              </w:rPr>
              <w:fldChar w:fldCharType="end"/>
            </w:r>
          </w:hyperlink>
        </w:p>
        <w:p w14:paraId="23146315" w14:textId="1443ED4A" w:rsidR="00E918EB" w:rsidRDefault="0016765E">
          <w:pPr>
            <w:pStyle w:val="TOC2"/>
            <w:rPr>
              <w:lang w:eastAsia="en-AU"/>
            </w:rPr>
          </w:pPr>
          <w:hyperlink w:anchor="_Toc501621265" w:history="1">
            <w:r w:rsidR="00E918EB" w:rsidRPr="00FA3C2D">
              <w:rPr>
                <w:rStyle w:val="Hyperlink"/>
              </w:rPr>
              <w:t>5.2 Process for applying for an increase to a provider fee limit</w:t>
            </w:r>
            <w:r w:rsidR="00E918EB">
              <w:rPr>
                <w:webHidden/>
              </w:rPr>
              <w:tab/>
            </w:r>
            <w:r w:rsidR="00E918EB">
              <w:rPr>
                <w:webHidden/>
              </w:rPr>
              <w:fldChar w:fldCharType="begin"/>
            </w:r>
            <w:r w:rsidR="00E918EB">
              <w:rPr>
                <w:webHidden/>
              </w:rPr>
              <w:instrText xml:space="preserve"> PAGEREF _Toc501621265 \h </w:instrText>
            </w:r>
            <w:r w:rsidR="00E918EB">
              <w:rPr>
                <w:webHidden/>
              </w:rPr>
            </w:r>
            <w:r w:rsidR="00E918EB">
              <w:rPr>
                <w:webHidden/>
              </w:rPr>
              <w:fldChar w:fldCharType="separate"/>
            </w:r>
            <w:r w:rsidR="0012240F">
              <w:rPr>
                <w:webHidden/>
              </w:rPr>
              <w:t>94</w:t>
            </w:r>
            <w:r w:rsidR="00E918EB">
              <w:rPr>
                <w:webHidden/>
              </w:rPr>
              <w:fldChar w:fldCharType="end"/>
            </w:r>
          </w:hyperlink>
        </w:p>
        <w:p w14:paraId="6029ECE0" w14:textId="5F08BB12" w:rsidR="00E918EB" w:rsidRDefault="0016765E">
          <w:pPr>
            <w:pStyle w:val="TOC3"/>
            <w:rPr>
              <w:noProof/>
              <w:lang w:eastAsia="en-AU"/>
            </w:rPr>
          </w:pPr>
          <w:hyperlink w:anchor="_Toc501621266" w:history="1">
            <w:r w:rsidR="00E918EB" w:rsidRPr="00FA3C2D">
              <w:rPr>
                <w:rStyle w:val="Hyperlink"/>
                <w:noProof/>
              </w:rPr>
              <w:t>5.2.1   Business Case Requirements</w:t>
            </w:r>
            <w:r w:rsidR="00E918EB">
              <w:rPr>
                <w:noProof/>
                <w:webHidden/>
              </w:rPr>
              <w:tab/>
            </w:r>
            <w:r w:rsidR="00E918EB">
              <w:rPr>
                <w:noProof/>
                <w:webHidden/>
              </w:rPr>
              <w:fldChar w:fldCharType="begin"/>
            </w:r>
            <w:r w:rsidR="00E918EB">
              <w:rPr>
                <w:noProof/>
                <w:webHidden/>
              </w:rPr>
              <w:instrText xml:space="preserve"> PAGEREF _Toc501621266 \h </w:instrText>
            </w:r>
            <w:r w:rsidR="00E918EB">
              <w:rPr>
                <w:noProof/>
                <w:webHidden/>
              </w:rPr>
            </w:r>
            <w:r w:rsidR="00E918EB">
              <w:rPr>
                <w:noProof/>
                <w:webHidden/>
              </w:rPr>
              <w:fldChar w:fldCharType="separate"/>
            </w:r>
            <w:r w:rsidR="0012240F">
              <w:rPr>
                <w:noProof/>
                <w:webHidden/>
              </w:rPr>
              <w:t>95</w:t>
            </w:r>
            <w:r w:rsidR="00E918EB">
              <w:rPr>
                <w:noProof/>
                <w:webHidden/>
              </w:rPr>
              <w:fldChar w:fldCharType="end"/>
            </w:r>
          </w:hyperlink>
        </w:p>
        <w:p w14:paraId="43713BD2" w14:textId="586F507D" w:rsidR="00E918EB" w:rsidRDefault="0016765E">
          <w:pPr>
            <w:pStyle w:val="TOC2"/>
            <w:rPr>
              <w:lang w:eastAsia="en-AU"/>
            </w:rPr>
          </w:pPr>
          <w:hyperlink w:anchor="_Toc501621267" w:history="1">
            <w:r w:rsidR="00E918EB" w:rsidRPr="00FA3C2D">
              <w:rPr>
                <w:rStyle w:val="Hyperlink"/>
              </w:rPr>
              <w:t>5.3 When Secretary is not required to pay loan amount</w:t>
            </w:r>
            <w:r w:rsidR="00E918EB">
              <w:rPr>
                <w:webHidden/>
              </w:rPr>
              <w:tab/>
            </w:r>
            <w:r w:rsidR="00E918EB">
              <w:rPr>
                <w:webHidden/>
              </w:rPr>
              <w:fldChar w:fldCharType="begin"/>
            </w:r>
            <w:r w:rsidR="00E918EB">
              <w:rPr>
                <w:webHidden/>
              </w:rPr>
              <w:instrText xml:space="preserve"> PAGEREF _Toc501621267 \h </w:instrText>
            </w:r>
            <w:r w:rsidR="00E918EB">
              <w:rPr>
                <w:webHidden/>
              </w:rPr>
            </w:r>
            <w:r w:rsidR="00E918EB">
              <w:rPr>
                <w:webHidden/>
              </w:rPr>
              <w:fldChar w:fldCharType="separate"/>
            </w:r>
            <w:r w:rsidR="0012240F">
              <w:rPr>
                <w:webHidden/>
              </w:rPr>
              <w:t>95</w:t>
            </w:r>
            <w:r w:rsidR="00E918EB">
              <w:rPr>
                <w:webHidden/>
              </w:rPr>
              <w:fldChar w:fldCharType="end"/>
            </w:r>
          </w:hyperlink>
        </w:p>
        <w:p w14:paraId="6A10B716" w14:textId="74D84643" w:rsidR="00E918EB" w:rsidRDefault="0016765E">
          <w:pPr>
            <w:pStyle w:val="TOC2"/>
            <w:rPr>
              <w:lang w:eastAsia="en-AU"/>
            </w:rPr>
          </w:pPr>
          <w:hyperlink w:anchor="_Toc501621268" w:history="1">
            <w:r w:rsidR="00E918EB" w:rsidRPr="00FA3C2D">
              <w:rPr>
                <w:rStyle w:val="Hyperlink"/>
              </w:rPr>
              <w:t>5.4 When the provider must repay loan amounts</w:t>
            </w:r>
            <w:r w:rsidR="00E918EB">
              <w:rPr>
                <w:webHidden/>
              </w:rPr>
              <w:tab/>
            </w:r>
            <w:r w:rsidR="00E918EB">
              <w:rPr>
                <w:webHidden/>
              </w:rPr>
              <w:fldChar w:fldCharType="begin"/>
            </w:r>
            <w:r w:rsidR="00E918EB">
              <w:rPr>
                <w:webHidden/>
              </w:rPr>
              <w:instrText xml:space="preserve"> PAGEREF _Toc501621268 \h </w:instrText>
            </w:r>
            <w:r w:rsidR="00E918EB">
              <w:rPr>
                <w:webHidden/>
              </w:rPr>
            </w:r>
            <w:r w:rsidR="00E918EB">
              <w:rPr>
                <w:webHidden/>
              </w:rPr>
              <w:fldChar w:fldCharType="separate"/>
            </w:r>
            <w:r w:rsidR="0012240F">
              <w:rPr>
                <w:webHidden/>
              </w:rPr>
              <w:t>95</w:t>
            </w:r>
            <w:r w:rsidR="00E918EB">
              <w:rPr>
                <w:webHidden/>
              </w:rPr>
              <w:fldChar w:fldCharType="end"/>
            </w:r>
          </w:hyperlink>
        </w:p>
        <w:p w14:paraId="1E4CB1FE" w14:textId="7F8514BE" w:rsidR="00E918EB" w:rsidRDefault="0016765E">
          <w:pPr>
            <w:pStyle w:val="TOC3"/>
            <w:rPr>
              <w:noProof/>
              <w:lang w:eastAsia="en-AU"/>
            </w:rPr>
          </w:pPr>
          <w:hyperlink w:anchor="_Toc501621269" w:history="1">
            <w:r w:rsidR="00E918EB" w:rsidRPr="00FA3C2D">
              <w:rPr>
                <w:rStyle w:val="Hyperlink"/>
                <w:noProof/>
              </w:rPr>
              <w:t>5.4.1   Students’ FEE-HELP balance re-credited</w:t>
            </w:r>
            <w:r w:rsidR="00E918EB">
              <w:rPr>
                <w:noProof/>
                <w:webHidden/>
              </w:rPr>
              <w:tab/>
            </w:r>
            <w:r w:rsidR="00E918EB">
              <w:rPr>
                <w:noProof/>
                <w:webHidden/>
              </w:rPr>
              <w:fldChar w:fldCharType="begin"/>
            </w:r>
            <w:r w:rsidR="00E918EB">
              <w:rPr>
                <w:noProof/>
                <w:webHidden/>
              </w:rPr>
              <w:instrText xml:space="preserve"> PAGEREF _Toc501621269 \h </w:instrText>
            </w:r>
            <w:r w:rsidR="00E918EB">
              <w:rPr>
                <w:noProof/>
                <w:webHidden/>
              </w:rPr>
            </w:r>
            <w:r w:rsidR="00E918EB">
              <w:rPr>
                <w:noProof/>
                <w:webHidden/>
              </w:rPr>
              <w:fldChar w:fldCharType="separate"/>
            </w:r>
            <w:r w:rsidR="0012240F">
              <w:rPr>
                <w:noProof/>
                <w:webHidden/>
              </w:rPr>
              <w:t>96</w:t>
            </w:r>
            <w:r w:rsidR="00E918EB">
              <w:rPr>
                <w:noProof/>
                <w:webHidden/>
              </w:rPr>
              <w:fldChar w:fldCharType="end"/>
            </w:r>
          </w:hyperlink>
        </w:p>
        <w:p w14:paraId="7F551F6E" w14:textId="6B9114EC" w:rsidR="00E918EB" w:rsidRDefault="0016765E">
          <w:pPr>
            <w:pStyle w:val="TOC3"/>
            <w:rPr>
              <w:noProof/>
              <w:lang w:eastAsia="en-AU"/>
            </w:rPr>
          </w:pPr>
          <w:hyperlink w:anchor="_Toc501621270" w:history="1">
            <w:r w:rsidR="00E918EB" w:rsidRPr="00FA3C2D">
              <w:rPr>
                <w:rStyle w:val="Hyperlink"/>
                <w:noProof/>
              </w:rPr>
              <w:t>5.4.2   Loan amount was not payable</w:t>
            </w:r>
            <w:r w:rsidR="00E918EB">
              <w:rPr>
                <w:noProof/>
                <w:webHidden/>
              </w:rPr>
              <w:tab/>
            </w:r>
            <w:r w:rsidR="00E918EB">
              <w:rPr>
                <w:noProof/>
                <w:webHidden/>
              </w:rPr>
              <w:fldChar w:fldCharType="begin"/>
            </w:r>
            <w:r w:rsidR="00E918EB">
              <w:rPr>
                <w:noProof/>
                <w:webHidden/>
              </w:rPr>
              <w:instrText xml:space="preserve"> PAGEREF _Toc501621270 \h </w:instrText>
            </w:r>
            <w:r w:rsidR="00E918EB">
              <w:rPr>
                <w:noProof/>
                <w:webHidden/>
              </w:rPr>
            </w:r>
            <w:r w:rsidR="00E918EB">
              <w:rPr>
                <w:noProof/>
                <w:webHidden/>
              </w:rPr>
              <w:fldChar w:fldCharType="separate"/>
            </w:r>
            <w:r w:rsidR="0012240F">
              <w:rPr>
                <w:noProof/>
                <w:webHidden/>
              </w:rPr>
              <w:t>96</w:t>
            </w:r>
            <w:r w:rsidR="00E918EB">
              <w:rPr>
                <w:noProof/>
                <w:webHidden/>
              </w:rPr>
              <w:fldChar w:fldCharType="end"/>
            </w:r>
          </w:hyperlink>
        </w:p>
        <w:p w14:paraId="7FA3CE12" w14:textId="2406FF7D" w:rsidR="00E918EB" w:rsidRDefault="0016765E">
          <w:pPr>
            <w:pStyle w:val="TOC3"/>
            <w:rPr>
              <w:noProof/>
              <w:lang w:eastAsia="en-AU"/>
            </w:rPr>
          </w:pPr>
          <w:hyperlink w:anchor="_Toc501621271" w:history="1">
            <w:r w:rsidR="00E918EB" w:rsidRPr="00FA3C2D">
              <w:rPr>
                <w:rStyle w:val="Hyperlink"/>
                <w:noProof/>
              </w:rPr>
              <w:t>5.4.3   Loan amount exceed provider fee limit</w:t>
            </w:r>
            <w:r w:rsidR="00E918EB">
              <w:rPr>
                <w:noProof/>
                <w:webHidden/>
              </w:rPr>
              <w:tab/>
            </w:r>
            <w:r w:rsidR="00E918EB">
              <w:rPr>
                <w:noProof/>
                <w:webHidden/>
              </w:rPr>
              <w:fldChar w:fldCharType="begin"/>
            </w:r>
            <w:r w:rsidR="00E918EB">
              <w:rPr>
                <w:noProof/>
                <w:webHidden/>
              </w:rPr>
              <w:instrText xml:space="preserve"> PAGEREF _Toc501621271 \h </w:instrText>
            </w:r>
            <w:r w:rsidR="00E918EB">
              <w:rPr>
                <w:noProof/>
                <w:webHidden/>
              </w:rPr>
            </w:r>
            <w:r w:rsidR="00E918EB">
              <w:rPr>
                <w:noProof/>
                <w:webHidden/>
              </w:rPr>
              <w:fldChar w:fldCharType="separate"/>
            </w:r>
            <w:r w:rsidR="0012240F">
              <w:rPr>
                <w:noProof/>
                <w:webHidden/>
              </w:rPr>
              <w:t>96</w:t>
            </w:r>
            <w:r w:rsidR="00E918EB">
              <w:rPr>
                <w:noProof/>
                <w:webHidden/>
              </w:rPr>
              <w:fldChar w:fldCharType="end"/>
            </w:r>
          </w:hyperlink>
        </w:p>
        <w:p w14:paraId="4A258658" w14:textId="57A3011F" w:rsidR="00E918EB" w:rsidRDefault="0016765E">
          <w:pPr>
            <w:pStyle w:val="TOC1"/>
            <w:rPr>
              <w:lang w:eastAsia="en-AU"/>
            </w:rPr>
          </w:pPr>
          <w:hyperlink w:anchor="_Toc501621272" w:history="1">
            <w:r w:rsidR="00E918EB" w:rsidRPr="00FA3C2D">
              <w:rPr>
                <w:rStyle w:val="Hyperlink"/>
              </w:rPr>
              <w:t>Appendices</w:t>
            </w:r>
            <w:r w:rsidR="00E918EB">
              <w:rPr>
                <w:webHidden/>
              </w:rPr>
              <w:tab/>
            </w:r>
            <w:r w:rsidR="00E918EB">
              <w:rPr>
                <w:webHidden/>
              </w:rPr>
              <w:fldChar w:fldCharType="begin"/>
            </w:r>
            <w:r w:rsidR="00E918EB">
              <w:rPr>
                <w:webHidden/>
              </w:rPr>
              <w:instrText xml:space="preserve"> PAGEREF _Toc501621272 \h </w:instrText>
            </w:r>
            <w:r w:rsidR="00E918EB">
              <w:rPr>
                <w:webHidden/>
              </w:rPr>
            </w:r>
            <w:r w:rsidR="00E918EB">
              <w:rPr>
                <w:webHidden/>
              </w:rPr>
              <w:fldChar w:fldCharType="separate"/>
            </w:r>
            <w:r w:rsidR="0012240F">
              <w:rPr>
                <w:webHidden/>
              </w:rPr>
              <w:t>97</w:t>
            </w:r>
            <w:r w:rsidR="00E918EB">
              <w:rPr>
                <w:webHidden/>
              </w:rPr>
              <w:fldChar w:fldCharType="end"/>
            </w:r>
          </w:hyperlink>
        </w:p>
        <w:p w14:paraId="1C9FB6E9" w14:textId="733A525C" w:rsidR="00E918EB" w:rsidRDefault="0016765E">
          <w:pPr>
            <w:pStyle w:val="TOC2"/>
            <w:rPr>
              <w:lang w:eastAsia="en-AU"/>
            </w:rPr>
          </w:pPr>
          <w:hyperlink w:anchor="_Toc501621273" w:history="1">
            <w:r w:rsidR="00E918EB" w:rsidRPr="00FA3C2D">
              <w:rPr>
                <w:rStyle w:val="Hyperlink"/>
              </w:rPr>
              <w:t>Appendix A – Civil penalties and criminal offences</w:t>
            </w:r>
            <w:r w:rsidR="00E918EB">
              <w:rPr>
                <w:webHidden/>
              </w:rPr>
              <w:tab/>
            </w:r>
            <w:r w:rsidR="00E918EB">
              <w:rPr>
                <w:webHidden/>
              </w:rPr>
              <w:fldChar w:fldCharType="begin"/>
            </w:r>
            <w:r w:rsidR="00E918EB">
              <w:rPr>
                <w:webHidden/>
              </w:rPr>
              <w:instrText xml:space="preserve"> PAGEREF _Toc501621273 \h </w:instrText>
            </w:r>
            <w:r w:rsidR="00E918EB">
              <w:rPr>
                <w:webHidden/>
              </w:rPr>
            </w:r>
            <w:r w:rsidR="00E918EB">
              <w:rPr>
                <w:webHidden/>
              </w:rPr>
              <w:fldChar w:fldCharType="separate"/>
            </w:r>
            <w:r w:rsidR="0012240F">
              <w:rPr>
                <w:webHidden/>
              </w:rPr>
              <w:t>97</w:t>
            </w:r>
            <w:r w:rsidR="00E918EB">
              <w:rPr>
                <w:webHidden/>
              </w:rPr>
              <w:fldChar w:fldCharType="end"/>
            </w:r>
          </w:hyperlink>
        </w:p>
        <w:p w14:paraId="3638D36D" w14:textId="201BF4B4" w:rsidR="00E918EB" w:rsidRDefault="0016765E">
          <w:pPr>
            <w:pStyle w:val="TOC2"/>
            <w:rPr>
              <w:lang w:eastAsia="en-AU"/>
            </w:rPr>
          </w:pPr>
          <w:hyperlink w:anchor="_Toc501621274" w:history="1">
            <w:r w:rsidR="00E918EB" w:rsidRPr="00FA3C2D">
              <w:rPr>
                <w:rStyle w:val="Hyperlink"/>
              </w:rPr>
              <w:t>Appendix B – Checklist of information to be provided to students prior to enrolment</w:t>
            </w:r>
            <w:r w:rsidR="00E918EB">
              <w:rPr>
                <w:webHidden/>
              </w:rPr>
              <w:tab/>
            </w:r>
            <w:r w:rsidR="00E918EB">
              <w:rPr>
                <w:webHidden/>
              </w:rPr>
              <w:fldChar w:fldCharType="begin"/>
            </w:r>
            <w:r w:rsidR="00E918EB">
              <w:rPr>
                <w:webHidden/>
              </w:rPr>
              <w:instrText xml:space="preserve"> PAGEREF _Toc501621274 \h </w:instrText>
            </w:r>
            <w:r w:rsidR="00E918EB">
              <w:rPr>
                <w:webHidden/>
              </w:rPr>
            </w:r>
            <w:r w:rsidR="00E918EB">
              <w:rPr>
                <w:webHidden/>
              </w:rPr>
              <w:fldChar w:fldCharType="separate"/>
            </w:r>
            <w:r w:rsidR="0012240F">
              <w:rPr>
                <w:webHidden/>
              </w:rPr>
              <w:t>102</w:t>
            </w:r>
            <w:r w:rsidR="00E918EB">
              <w:rPr>
                <w:webHidden/>
              </w:rPr>
              <w:fldChar w:fldCharType="end"/>
            </w:r>
          </w:hyperlink>
        </w:p>
        <w:p w14:paraId="3D13BAB7" w14:textId="43722C96" w:rsidR="00E918EB" w:rsidRDefault="0016765E">
          <w:pPr>
            <w:pStyle w:val="TOC2"/>
            <w:rPr>
              <w:lang w:eastAsia="en-AU"/>
            </w:rPr>
          </w:pPr>
          <w:hyperlink w:anchor="_Toc501621275" w:history="1">
            <w:r w:rsidR="00E918EB" w:rsidRPr="00FA3C2D">
              <w:rPr>
                <w:rStyle w:val="Hyperlink"/>
              </w:rPr>
              <w:t>Appendix C – Sample – VET Student Loan Statement of covered fees and Fee Notice</w:t>
            </w:r>
            <w:r w:rsidR="00E918EB">
              <w:rPr>
                <w:webHidden/>
              </w:rPr>
              <w:tab/>
            </w:r>
            <w:r w:rsidR="00E918EB">
              <w:rPr>
                <w:webHidden/>
              </w:rPr>
              <w:fldChar w:fldCharType="begin"/>
            </w:r>
            <w:r w:rsidR="00E918EB">
              <w:rPr>
                <w:webHidden/>
              </w:rPr>
              <w:instrText xml:space="preserve"> PAGEREF _Toc501621275 \h </w:instrText>
            </w:r>
            <w:r w:rsidR="00E918EB">
              <w:rPr>
                <w:webHidden/>
              </w:rPr>
            </w:r>
            <w:r w:rsidR="00E918EB">
              <w:rPr>
                <w:webHidden/>
              </w:rPr>
              <w:fldChar w:fldCharType="separate"/>
            </w:r>
            <w:r w:rsidR="0012240F">
              <w:rPr>
                <w:webHidden/>
              </w:rPr>
              <w:t>104</w:t>
            </w:r>
            <w:r w:rsidR="00E918EB">
              <w:rPr>
                <w:webHidden/>
              </w:rPr>
              <w:fldChar w:fldCharType="end"/>
            </w:r>
          </w:hyperlink>
        </w:p>
        <w:p w14:paraId="38EEC836" w14:textId="464E7828" w:rsidR="00E918EB" w:rsidRDefault="0016765E">
          <w:pPr>
            <w:pStyle w:val="TOC2"/>
            <w:rPr>
              <w:lang w:eastAsia="en-AU"/>
            </w:rPr>
          </w:pPr>
          <w:hyperlink w:anchor="_Toc501621276" w:history="1">
            <w:r w:rsidR="00E918EB" w:rsidRPr="00FA3C2D">
              <w:rPr>
                <w:rStyle w:val="Hyperlink"/>
              </w:rPr>
              <w:t>Appendix D – Sample - Commonwealth Assistance Notice</w:t>
            </w:r>
            <w:r w:rsidR="00E918EB">
              <w:rPr>
                <w:webHidden/>
              </w:rPr>
              <w:tab/>
            </w:r>
            <w:r w:rsidR="00E918EB">
              <w:rPr>
                <w:webHidden/>
              </w:rPr>
              <w:fldChar w:fldCharType="begin"/>
            </w:r>
            <w:r w:rsidR="00E918EB">
              <w:rPr>
                <w:webHidden/>
              </w:rPr>
              <w:instrText xml:space="preserve"> PAGEREF _Toc501621276 \h </w:instrText>
            </w:r>
            <w:r w:rsidR="00E918EB">
              <w:rPr>
                <w:webHidden/>
              </w:rPr>
            </w:r>
            <w:r w:rsidR="00E918EB">
              <w:rPr>
                <w:webHidden/>
              </w:rPr>
              <w:fldChar w:fldCharType="separate"/>
            </w:r>
            <w:r w:rsidR="0012240F">
              <w:rPr>
                <w:webHidden/>
              </w:rPr>
              <w:t>105</w:t>
            </w:r>
            <w:r w:rsidR="00E918EB">
              <w:rPr>
                <w:webHidden/>
              </w:rPr>
              <w:fldChar w:fldCharType="end"/>
            </w:r>
          </w:hyperlink>
        </w:p>
        <w:p w14:paraId="3B838F44" w14:textId="68B32D1C" w:rsidR="00E918EB" w:rsidRDefault="0016765E">
          <w:pPr>
            <w:pStyle w:val="TOC2"/>
            <w:rPr>
              <w:lang w:eastAsia="en-AU"/>
            </w:rPr>
          </w:pPr>
          <w:hyperlink w:anchor="_Toc501621277" w:history="1">
            <w:r w:rsidR="00E918EB" w:rsidRPr="00FA3C2D">
              <w:rPr>
                <w:rStyle w:val="Hyperlink"/>
              </w:rPr>
              <w:t>Appendix E – Notice of rights of review</w:t>
            </w:r>
            <w:r w:rsidR="00E918EB">
              <w:rPr>
                <w:webHidden/>
              </w:rPr>
              <w:tab/>
            </w:r>
            <w:r w:rsidR="00E918EB">
              <w:rPr>
                <w:webHidden/>
              </w:rPr>
              <w:fldChar w:fldCharType="begin"/>
            </w:r>
            <w:r w:rsidR="00E918EB">
              <w:rPr>
                <w:webHidden/>
              </w:rPr>
              <w:instrText xml:space="preserve"> PAGEREF _Toc501621277 \h </w:instrText>
            </w:r>
            <w:r w:rsidR="00E918EB">
              <w:rPr>
                <w:webHidden/>
              </w:rPr>
            </w:r>
            <w:r w:rsidR="00E918EB">
              <w:rPr>
                <w:webHidden/>
              </w:rPr>
              <w:fldChar w:fldCharType="separate"/>
            </w:r>
            <w:r w:rsidR="0012240F">
              <w:rPr>
                <w:webHidden/>
              </w:rPr>
              <w:t>106</w:t>
            </w:r>
            <w:r w:rsidR="00E918EB">
              <w:rPr>
                <w:webHidden/>
              </w:rPr>
              <w:fldChar w:fldCharType="end"/>
            </w:r>
          </w:hyperlink>
        </w:p>
        <w:p w14:paraId="411C00C4" w14:textId="0C940039" w:rsidR="00E918EB" w:rsidRDefault="0016765E">
          <w:pPr>
            <w:pStyle w:val="TOC2"/>
            <w:rPr>
              <w:lang w:eastAsia="en-AU"/>
            </w:rPr>
          </w:pPr>
          <w:hyperlink w:anchor="_Toc501621278" w:history="1">
            <w:r w:rsidR="00E918EB" w:rsidRPr="00FA3C2D">
              <w:rPr>
                <w:rStyle w:val="Hyperlink"/>
              </w:rPr>
              <w:t>Appendix F – Fees that are not covered by VET Student Loans</w:t>
            </w:r>
            <w:r w:rsidR="00E918EB">
              <w:rPr>
                <w:webHidden/>
              </w:rPr>
              <w:tab/>
            </w:r>
            <w:r w:rsidR="00E918EB">
              <w:rPr>
                <w:webHidden/>
              </w:rPr>
              <w:fldChar w:fldCharType="begin"/>
            </w:r>
            <w:r w:rsidR="00E918EB">
              <w:rPr>
                <w:webHidden/>
              </w:rPr>
              <w:instrText xml:space="preserve"> PAGEREF _Toc501621278 \h </w:instrText>
            </w:r>
            <w:r w:rsidR="00E918EB">
              <w:rPr>
                <w:webHidden/>
              </w:rPr>
            </w:r>
            <w:r w:rsidR="00E918EB">
              <w:rPr>
                <w:webHidden/>
              </w:rPr>
              <w:fldChar w:fldCharType="separate"/>
            </w:r>
            <w:r w:rsidR="0012240F">
              <w:rPr>
                <w:webHidden/>
              </w:rPr>
              <w:t>107</w:t>
            </w:r>
            <w:r w:rsidR="00E918EB">
              <w:rPr>
                <w:webHidden/>
              </w:rPr>
              <w:fldChar w:fldCharType="end"/>
            </w:r>
          </w:hyperlink>
        </w:p>
        <w:p w14:paraId="6A56299B" w14:textId="402A409B" w:rsidR="00E918EB" w:rsidRDefault="0016765E">
          <w:pPr>
            <w:pStyle w:val="TOC2"/>
            <w:rPr>
              <w:lang w:eastAsia="en-AU"/>
            </w:rPr>
          </w:pPr>
          <w:hyperlink w:anchor="_Toc501621279" w:history="1">
            <w:r w:rsidR="00E918EB" w:rsidRPr="00FA3C2D">
              <w:rPr>
                <w:rStyle w:val="Hyperlink"/>
              </w:rPr>
              <w:t>Appendix G – Goods and services for which a separate fee must not be charged</w:t>
            </w:r>
            <w:r w:rsidR="00E918EB">
              <w:rPr>
                <w:webHidden/>
              </w:rPr>
              <w:tab/>
            </w:r>
            <w:r w:rsidR="00E918EB">
              <w:rPr>
                <w:webHidden/>
              </w:rPr>
              <w:fldChar w:fldCharType="begin"/>
            </w:r>
            <w:r w:rsidR="00E918EB">
              <w:rPr>
                <w:webHidden/>
              </w:rPr>
              <w:instrText xml:space="preserve"> PAGEREF _Toc501621279 \h </w:instrText>
            </w:r>
            <w:r w:rsidR="00E918EB">
              <w:rPr>
                <w:webHidden/>
              </w:rPr>
            </w:r>
            <w:r w:rsidR="00E918EB">
              <w:rPr>
                <w:webHidden/>
              </w:rPr>
              <w:fldChar w:fldCharType="separate"/>
            </w:r>
            <w:r w:rsidR="0012240F">
              <w:rPr>
                <w:webHidden/>
              </w:rPr>
              <w:t>108</w:t>
            </w:r>
            <w:r w:rsidR="00E918EB">
              <w:rPr>
                <w:webHidden/>
              </w:rPr>
              <w:fldChar w:fldCharType="end"/>
            </w:r>
          </w:hyperlink>
        </w:p>
        <w:p w14:paraId="06870750" w14:textId="226FE00D" w:rsidR="00E918EB" w:rsidRDefault="0016765E">
          <w:pPr>
            <w:pStyle w:val="TOC2"/>
            <w:rPr>
              <w:lang w:eastAsia="en-AU"/>
            </w:rPr>
          </w:pPr>
          <w:hyperlink w:anchor="_Toc501621280" w:history="1">
            <w:r w:rsidR="00E918EB" w:rsidRPr="00FA3C2D">
              <w:rPr>
                <w:rStyle w:val="Hyperlink"/>
              </w:rPr>
              <w:t>Appendix H – Reporting and Payment Schedule 2017</w:t>
            </w:r>
            <w:r w:rsidR="00E918EB">
              <w:rPr>
                <w:webHidden/>
              </w:rPr>
              <w:tab/>
            </w:r>
            <w:r w:rsidR="00E918EB">
              <w:rPr>
                <w:webHidden/>
              </w:rPr>
              <w:fldChar w:fldCharType="begin"/>
            </w:r>
            <w:r w:rsidR="00E918EB">
              <w:rPr>
                <w:webHidden/>
              </w:rPr>
              <w:instrText xml:space="preserve"> PAGEREF _Toc501621280 \h </w:instrText>
            </w:r>
            <w:r w:rsidR="00E918EB">
              <w:rPr>
                <w:webHidden/>
              </w:rPr>
            </w:r>
            <w:r w:rsidR="00E918EB">
              <w:rPr>
                <w:webHidden/>
              </w:rPr>
              <w:fldChar w:fldCharType="separate"/>
            </w:r>
            <w:r w:rsidR="0012240F">
              <w:rPr>
                <w:webHidden/>
              </w:rPr>
              <w:t>109</w:t>
            </w:r>
            <w:r w:rsidR="00E918EB">
              <w:rPr>
                <w:webHidden/>
              </w:rPr>
              <w:fldChar w:fldCharType="end"/>
            </w:r>
          </w:hyperlink>
        </w:p>
        <w:p w14:paraId="0530400A" w14:textId="608C09D1" w:rsidR="00E918EB" w:rsidRDefault="0016765E">
          <w:pPr>
            <w:pStyle w:val="TOC2"/>
            <w:rPr>
              <w:lang w:eastAsia="en-AU"/>
            </w:rPr>
          </w:pPr>
          <w:hyperlink w:anchor="_Toc501621281" w:history="1">
            <w:r w:rsidR="00E918EB" w:rsidRPr="00FA3C2D">
              <w:rPr>
                <w:rStyle w:val="Hyperlink"/>
              </w:rPr>
              <w:t>Appendix I – Equivalent full-time student load</w:t>
            </w:r>
            <w:r w:rsidR="00E918EB">
              <w:rPr>
                <w:webHidden/>
              </w:rPr>
              <w:tab/>
            </w:r>
            <w:r w:rsidR="00E918EB">
              <w:rPr>
                <w:webHidden/>
              </w:rPr>
              <w:fldChar w:fldCharType="begin"/>
            </w:r>
            <w:r w:rsidR="00E918EB">
              <w:rPr>
                <w:webHidden/>
              </w:rPr>
              <w:instrText xml:space="preserve"> PAGEREF _Toc501621281 \h </w:instrText>
            </w:r>
            <w:r w:rsidR="00E918EB">
              <w:rPr>
                <w:webHidden/>
              </w:rPr>
            </w:r>
            <w:r w:rsidR="00E918EB">
              <w:rPr>
                <w:webHidden/>
              </w:rPr>
              <w:fldChar w:fldCharType="separate"/>
            </w:r>
            <w:r w:rsidR="0012240F">
              <w:rPr>
                <w:webHidden/>
              </w:rPr>
              <w:t>110</w:t>
            </w:r>
            <w:r w:rsidR="00E918EB">
              <w:rPr>
                <w:webHidden/>
              </w:rPr>
              <w:fldChar w:fldCharType="end"/>
            </w:r>
          </w:hyperlink>
        </w:p>
        <w:p w14:paraId="2715670C" w14:textId="709D1BF5" w:rsidR="00E918EB" w:rsidRDefault="0016765E">
          <w:pPr>
            <w:pStyle w:val="TOC2"/>
            <w:rPr>
              <w:lang w:eastAsia="en-AU"/>
            </w:rPr>
          </w:pPr>
          <w:hyperlink w:anchor="_Toc501621282" w:history="1">
            <w:r w:rsidR="00E918EB" w:rsidRPr="00FA3C2D">
              <w:rPr>
                <w:rStyle w:val="Hyperlink"/>
              </w:rPr>
              <w:t>Appendix J – Provider resources</w:t>
            </w:r>
            <w:r w:rsidR="00E918EB">
              <w:rPr>
                <w:webHidden/>
              </w:rPr>
              <w:tab/>
            </w:r>
            <w:r w:rsidR="00E918EB">
              <w:rPr>
                <w:webHidden/>
              </w:rPr>
              <w:fldChar w:fldCharType="begin"/>
            </w:r>
            <w:r w:rsidR="00E918EB">
              <w:rPr>
                <w:webHidden/>
              </w:rPr>
              <w:instrText xml:space="preserve"> PAGEREF _Toc501621282 \h </w:instrText>
            </w:r>
            <w:r w:rsidR="00E918EB">
              <w:rPr>
                <w:webHidden/>
              </w:rPr>
            </w:r>
            <w:r w:rsidR="00E918EB">
              <w:rPr>
                <w:webHidden/>
              </w:rPr>
              <w:fldChar w:fldCharType="separate"/>
            </w:r>
            <w:r w:rsidR="0012240F">
              <w:rPr>
                <w:webHidden/>
              </w:rPr>
              <w:t>111</w:t>
            </w:r>
            <w:r w:rsidR="00E918EB">
              <w:rPr>
                <w:webHidden/>
              </w:rPr>
              <w:fldChar w:fldCharType="end"/>
            </w:r>
          </w:hyperlink>
        </w:p>
        <w:p w14:paraId="0597A2DD" w14:textId="38FDA0B7" w:rsidR="00FF5070" w:rsidRDefault="00FF5070">
          <w:r>
            <w:rPr>
              <w:b/>
              <w:bCs/>
              <w:noProof/>
            </w:rPr>
            <w:fldChar w:fldCharType="end"/>
          </w:r>
        </w:p>
      </w:sdtContent>
    </w:sdt>
    <w:p w14:paraId="254FB667" w14:textId="77777777" w:rsidR="000008FD" w:rsidRDefault="000008FD">
      <w:pPr>
        <w:spacing w:line="276" w:lineRule="auto"/>
      </w:pPr>
      <w:r>
        <w:br w:type="page"/>
      </w:r>
    </w:p>
    <w:p w14:paraId="13BD1C75" w14:textId="77777777" w:rsidR="00983AE6" w:rsidRPr="007A4EDE" w:rsidRDefault="00983AE6" w:rsidP="00983AE6">
      <w:pPr>
        <w:pStyle w:val="Normal-aftertable"/>
        <w:rPr>
          <w:b/>
          <w:color w:val="24206B"/>
          <w:sz w:val="28"/>
        </w:rPr>
      </w:pPr>
      <w:r w:rsidRPr="007A4EDE">
        <w:rPr>
          <w:b/>
          <w:color w:val="24206B"/>
          <w:sz w:val="28"/>
        </w:rPr>
        <w:lastRenderedPageBreak/>
        <w:t>Change Register</w:t>
      </w:r>
    </w:p>
    <w:tbl>
      <w:tblPr>
        <w:tblStyle w:val="HELPTableStyle21"/>
        <w:tblW w:w="9782" w:type="dxa"/>
        <w:jc w:val="center"/>
        <w:tblLayout w:type="fixed"/>
        <w:tblLook w:val="04A0" w:firstRow="1" w:lastRow="0" w:firstColumn="1" w:lastColumn="0" w:noHBand="0" w:noVBand="1"/>
        <w:tblCaption w:val="change register"/>
        <w:tblDescription w:val="change register"/>
      </w:tblPr>
      <w:tblGrid>
        <w:gridCol w:w="983"/>
        <w:gridCol w:w="992"/>
        <w:gridCol w:w="7807"/>
      </w:tblGrid>
      <w:tr w:rsidR="00407B6B" w:rsidRPr="00244088" w14:paraId="3188074F" w14:textId="77777777" w:rsidTr="00774E3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EEECE1" w:themeColor="background2"/>
              <w:right w:val="single" w:sz="4" w:space="0" w:color="EEECE1" w:themeColor="background2"/>
            </w:tcBorders>
            <w:shd w:val="clear" w:color="auto" w:fill="00ADEF"/>
          </w:tcPr>
          <w:p w14:paraId="455013B9" w14:textId="77777777" w:rsidR="00407B6B" w:rsidRPr="000008FD" w:rsidRDefault="00407B6B" w:rsidP="00C9014F">
            <w:pPr>
              <w:jc w:val="both"/>
              <w:rPr>
                <w:rFonts w:ascii="Calibri" w:hAnsi="Calibri"/>
                <w:b w:val="0"/>
                <w:color w:val="FFFFFF" w:themeColor="background1"/>
              </w:rPr>
            </w:pPr>
            <w:r w:rsidRPr="000008FD">
              <w:rPr>
                <w:rFonts w:ascii="Calibri" w:hAnsi="Calibri"/>
                <w:b w:val="0"/>
                <w:color w:val="FFFFFF" w:themeColor="background1"/>
              </w:rPr>
              <w:t>Version</w:t>
            </w:r>
          </w:p>
        </w:tc>
        <w:tc>
          <w:tcPr>
            <w:tcW w:w="992" w:type="dxa"/>
            <w:tcBorders>
              <w:top w:val="single" w:sz="4" w:space="0" w:color="EEECE1" w:themeColor="background2"/>
              <w:left w:val="single" w:sz="4" w:space="0" w:color="EEECE1" w:themeColor="background2"/>
              <w:right w:val="single" w:sz="4" w:space="0" w:color="EEECE1" w:themeColor="background2"/>
            </w:tcBorders>
            <w:shd w:val="clear" w:color="auto" w:fill="00ADEF"/>
          </w:tcPr>
          <w:p w14:paraId="2C117627" w14:textId="77777777" w:rsidR="00407B6B" w:rsidRPr="000008FD" w:rsidRDefault="00407B6B" w:rsidP="00C9014F">
            <w:pPr>
              <w:jc w:val="both"/>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rPr>
            </w:pPr>
            <w:r w:rsidRPr="000008FD">
              <w:rPr>
                <w:rFonts w:ascii="Calibri" w:hAnsi="Calibri"/>
                <w:b w:val="0"/>
                <w:color w:val="FFFFFF" w:themeColor="background1"/>
              </w:rPr>
              <w:t>Section</w:t>
            </w:r>
          </w:p>
        </w:tc>
        <w:tc>
          <w:tcPr>
            <w:tcW w:w="7807" w:type="dxa"/>
            <w:tcBorders>
              <w:top w:val="single" w:sz="4" w:space="0" w:color="EEECE1" w:themeColor="background2"/>
              <w:left w:val="single" w:sz="4" w:space="0" w:color="EEECE1" w:themeColor="background2"/>
              <w:right w:val="single" w:sz="4" w:space="0" w:color="EEECE1" w:themeColor="background2"/>
            </w:tcBorders>
            <w:shd w:val="clear" w:color="auto" w:fill="00ADEF"/>
          </w:tcPr>
          <w:p w14:paraId="34EE76C2" w14:textId="77777777" w:rsidR="00407B6B" w:rsidRPr="000008FD" w:rsidRDefault="00407B6B" w:rsidP="00C9014F">
            <w:pPr>
              <w:jc w:val="both"/>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rPr>
            </w:pPr>
            <w:r w:rsidRPr="000008FD">
              <w:rPr>
                <w:rFonts w:ascii="Calibri" w:hAnsi="Calibri"/>
                <w:b w:val="0"/>
                <w:color w:val="FFFFFF" w:themeColor="background1"/>
              </w:rPr>
              <w:t>Change</w:t>
            </w:r>
            <w:r>
              <w:rPr>
                <w:rFonts w:ascii="Calibri" w:hAnsi="Calibri"/>
                <w:b w:val="0"/>
                <w:color w:val="FFFFFF" w:themeColor="background1"/>
              </w:rPr>
              <w:t>*</w:t>
            </w:r>
          </w:p>
        </w:tc>
      </w:tr>
      <w:tr w:rsidR="00552553" w:rsidRPr="00244088" w14:paraId="1F871321"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val="restart"/>
          </w:tcPr>
          <w:p w14:paraId="19A1AB97" w14:textId="1BA6E1E1" w:rsidR="00552553" w:rsidRPr="00B96EE4" w:rsidRDefault="007D171B">
            <w:pPr>
              <w:rPr>
                <w:rFonts w:ascii="Calibri" w:hAnsi="Calibri"/>
                <w:sz w:val="20"/>
                <w:szCs w:val="20"/>
              </w:rPr>
            </w:pPr>
            <w:r>
              <w:rPr>
                <w:rFonts w:ascii="Calibri" w:hAnsi="Calibri"/>
                <w:sz w:val="20"/>
                <w:szCs w:val="20"/>
              </w:rPr>
              <w:t>2.0</w:t>
            </w:r>
          </w:p>
          <w:p w14:paraId="6A406F35" w14:textId="77777777" w:rsidR="00552553" w:rsidRPr="00B96EE4" w:rsidRDefault="00552553">
            <w:pPr>
              <w:rPr>
                <w:rFonts w:ascii="Calibri" w:hAnsi="Calibri"/>
                <w:sz w:val="20"/>
                <w:szCs w:val="20"/>
              </w:rPr>
            </w:pPr>
          </w:p>
        </w:tc>
        <w:tc>
          <w:tcPr>
            <w:tcW w:w="992" w:type="dxa"/>
          </w:tcPr>
          <w:p w14:paraId="44F73CAA" w14:textId="5134CDF0" w:rsidR="00552553" w:rsidRPr="00D76262" w:rsidRDefault="00552553" w:rsidP="00AE77B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7807" w:type="dxa"/>
          </w:tcPr>
          <w:p w14:paraId="1933A91C" w14:textId="1DAF4AA7" w:rsidR="00552553" w:rsidRPr="00B96EE4"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Moved:  ‘</w:t>
            </w:r>
            <w:hyperlink w:anchor="_VET_Student_Loans_1" w:history="1">
              <w:r w:rsidRPr="00484601">
                <w:rPr>
                  <w:rStyle w:val="Hyperlink"/>
                  <w:rFonts w:ascii="Calibri" w:hAnsi="Calibri"/>
                  <w:sz w:val="20"/>
                  <w:szCs w:val="20"/>
                </w:rPr>
                <w:t>VET Student Loans Provider Manual – Purpose’</w:t>
              </w:r>
            </w:hyperlink>
            <w:r>
              <w:rPr>
                <w:rFonts w:ascii="Calibri" w:hAnsi="Calibri"/>
                <w:b/>
                <w:sz w:val="20"/>
                <w:szCs w:val="20"/>
              </w:rPr>
              <w:t xml:space="preserve"> </w:t>
            </w:r>
            <w:r w:rsidRPr="0028499D">
              <w:rPr>
                <w:rFonts w:ascii="Calibri" w:hAnsi="Calibri"/>
                <w:sz w:val="20"/>
                <w:szCs w:val="20"/>
              </w:rPr>
              <w:t>from former section 1.2 to beginning of manual</w:t>
            </w:r>
          </w:p>
        </w:tc>
      </w:tr>
      <w:tr w:rsidR="00552553" w:rsidRPr="00244088" w14:paraId="67555DA0"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5C8F02E" w14:textId="77777777" w:rsidR="00552553" w:rsidRPr="00B96EE4" w:rsidRDefault="00552553" w:rsidP="00BF7D35">
            <w:pPr>
              <w:rPr>
                <w:rFonts w:ascii="Calibri" w:hAnsi="Calibri"/>
                <w:sz w:val="20"/>
                <w:szCs w:val="20"/>
              </w:rPr>
            </w:pPr>
          </w:p>
        </w:tc>
        <w:tc>
          <w:tcPr>
            <w:tcW w:w="992" w:type="dxa"/>
          </w:tcPr>
          <w:p w14:paraId="68B2F8AA" w14:textId="7F3B7F05" w:rsidR="00552553" w:rsidRPr="00D7626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76262">
              <w:rPr>
                <w:rFonts w:ascii="Calibri" w:hAnsi="Calibri"/>
                <w:sz w:val="20"/>
                <w:szCs w:val="20"/>
              </w:rPr>
              <w:t>1.1</w:t>
            </w:r>
          </w:p>
        </w:tc>
        <w:tc>
          <w:tcPr>
            <w:tcW w:w="7807" w:type="dxa"/>
          </w:tcPr>
          <w:p w14:paraId="2884D695" w14:textId="77777777" w:rsidR="00552553" w:rsidRPr="00B96EE4"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EE4">
              <w:rPr>
                <w:rFonts w:ascii="Calibri" w:hAnsi="Calibri"/>
                <w:b/>
                <w:sz w:val="20"/>
                <w:szCs w:val="20"/>
              </w:rPr>
              <w:t xml:space="preserve">Revised: </w:t>
            </w:r>
            <w:r w:rsidRPr="00B96EE4">
              <w:rPr>
                <w:rFonts w:ascii="Calibri" w:hAnsi="Calibri"/>
                <w:sz w:val="20"/>
                <w:szCs w:val="20"/>
              </w:rPr>
              <w:t>‘</w:t>
            </w:r>
            <w:hyperlink w:anchor="_1.1_Key_features" w:history="1">
              <w:r w:rsidRPr="00CA41BC">
                <w:rPr>
                  <w:rStyle w:val="Hyperlink"/>
                  <w:rFonts w:ascii="Calibri" w:hAnsi="Calibri"/>
                  <w:sz w:val="20"/>
                  <w:szCs w:val="20"/>
                </w:rPr>
                <w:t>Key features’</w:t>
              </w:r>
            </w:hyperlink>
          </w:p>
          <w:p w14:paraId="34FA7770" w14:textId="0B28DE09" w:rsidR="00552553" w:rsidRPr="00B96EE4"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96EE4">
              <w:rPr>
                <w:rFonts w:ascii="Calibri" w:hAnsi="Calibri"/>
                <w:b/>
                <w:sz w:val="20"/>
                <w:szCs w:val="20"/>
              </w:rPr>
              <w:t>Added:</w:t>
            </w:r>
            <w:r w:rsidRPr="00B96EE4">
              <w:rPr>
                <w:rFonts w:ascii="Calibri" w:hAnsi="Calibri"/>
                <w:sz w:val="20"/>
                <w:szCs w:val="20"/>
              </w:rPr>
              <w:t xml:space="preserve"> ‘</w:t>
            </w:r>
            <w:hyperlink w:anchor="_How_does_VET" w:history="1">
              <w:r w:rsidRPr="00666087">
                <w:rPr>
                  <w:rStyle w:val="Hyperlink"/>
                  <w:rFonts w:ascii="Calibri" w:hAnsi="Calibri"/>
                  <w:sz w:val="20"/>
                  <w:szCs w:val="20"/>
                </w:rPr>
                <w:t>How does VET Student Loans work</w:t>
              </w:r>
            </w:hyperlink>
            <w:r w:rsidRPr="00B96EE4">
              <w:rPr>
                <w:rFonts w:ascii="Calibri" w:hAnsi="Calibri"/>
                <w:sz w:val="20"/>
                <w:szCs w:val="20"/>
              </w:rPr>
              <w:t>?’ (Flow chart)</w:t>
            </w:r>
          </w:p>
        </w:tc>
      </w:tr>
      <w:tr w:rsidR="00552553" w:rsidRPr="00244088" w14:paraId="1DD71167"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1BF5978E" w14:textId="77777777" w:rsidR="00552553" w:rsidRDefault="00552553" w:rsidP="00361406">
            <w:pPr>
              <w:rPr>
                <w:rFonts w:ascii="Calibri" w:hAnsi="Calibri"/>
              </w:rPr>
            </w:pPr>
          </w:p>
        </w:tc>
        <w:tc>
          <w:tcPr>
            <w:tcW w:w="992" w:type="dxa"/>
          </w:tcPr>
          <w:p w14:paraId="37C3EFC3" w14:textId="77777777" w:rsidR="00552553" w:rsidRPr="00D7626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1</w:t>
            </w:r>
            <w:r>
              <w:rPr>
                <w:rFonts w:ascii="Calibri" w:hAnsi="Calibri"/>
                <w:sz w:val="20"/>
                <w:szCs w:val="20"/>
              </w:rPr>
              <w:t>.2</w:t>
            </w:r>
          </w:p>
        </w:tc>
        <w:tc>
          <w:tcPr>
            <w:tcW w:w="7807" w:type="dxa"/>
          </w:tcPr>
          <w:p w14:paraId="72D1E91F" w14:textId="77777777"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NEW SUBSECTION – </w:t>
            </w:r>
            <w:r w:rsidRPr="007C1EC3">
              <w:rPr>
                <w:rFonts w:ascii="Calibri" w:hAnsi="Calibri"/>
                <w:sz w:val="20"/>
                <w:szCs w:val="20"/>
              </w:rPr>
              <w:t>‘</w:t>
            </w:r>
            <w:hyperlink w:anchor="_1.2_Program_basics" w:history="1">
              <w:r w:rsidRPr="00CA41BC">
                <w:rPr>
                  <w:rStyle w:val="Hyperlink"/>
                  <w:rFonts w:ascii="Calibri" w:hAnsi="Calibri"/>
                  <w:sz w:val="20"/>
                  <w:szCs w:val="20"/>
                </w:rPr>
                <w:t>Program basics quick lookup</w:t>
              </w:r>
            </w:hyperlink>
            <w:r w:rsidRPr="007C1EC3">
              <w:rPr>
                <w:rFonts w:ascii="Calibri" w:hAnsi="Calibri"/>
                <w:sz w:val="20"/>
                <w:szCs w:val="20"/>
              </w:rPr>
              <w:t>’</w:t>
            </w:r>
          </w:p>
        </w:tc>
      </w:tr>
      <w:tr w:rsidR="00552553" w:rsidRPr="00244088" w14:paraId="2A8848A9"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5EC36698" w14:textId="77777777" w:rsidR="00552553" w:rsidRDefault="00552553" w:rsidP="00361406">
            <w:pPr>
              <w:rPr>
                <w:rFonts w:ascii="Calibri" w:hAnsi="Calibri"/>
              </w:rPr>
            </w:pPr>
          </w:p>
        </w:tc>
        <w:tc>
          <w:tcPr>
            <w:tcW w:w="992" w:type="dxa"/>
          </w:tcPr>
          <w:p w14:paraId="0943CEAE"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1.4</w:t>
            </w:r>
          </w:p>
        </w:tc>
        <w:tc>
          <w:tcPr>
            <w:tcW w:w="7807" w:type="dxa"/>
          </w:tcPr>
          <w:p w14:paraId="095CAD8D" w14:textId="58642BBE" w:rsidR="00552553"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Revised: </w:t>
            </w:r>
            <w:r w:rsidRPr="0028499D">
              <w:rPr>
                <w:rStyle w:val="Hyperlink"/>
                <w:rFonts w:ascii="Calibri" w:hAnsi="Calibri"/>
                <w:sz w:val="20"/>
              </w:rPr>
              <w:t>‘</w:t>
            </w:r>
            <w:hyperlink w:anchor="_1.4_Useful_Links" w:history="1">
              <w:r w:rsidRPr="00104DC7">
                <w:rPr>
                  <w:rStyle w:val="Hyperlink"/>
                  <w:rFonts w:ascii="Calibri" w:hAnsi="Calibri"/>
                  <w:sz w:val="20"/>
                </w:rPr>
                <w:t>Useful Links</w:t>
              </w:r>
            </w:hyperlink>
            <w:r w:rsidRPr="0028499D">
              <w:rPr>
                <w:rStyle w:val="Hyperlink"/>
                <w:rFonts w:ascii="Calibri" w:hAnsi="Calibri"/>
                <w:sz w:val="20"/>
              </w:rPr>
              <w:t>’</w:t>
            </w:r>
            <w:r>
              <w:rPr>
                <w:rFonts w:ascii="Calibri" w:hAnsi="Calibri"/>
                <w:b/>
                <w:sz w:val="20"/>
                <w:szCs w:val="20"/>
              </w:rPr>
              <w:t xml:space="preserve"> </w:t>
            </w:r>
            <w:r w:rsidRPr="0028499D">
              <w:rPr>
                <w:rFonts w:ascii="Calibri" w:hAnsi="Calibri"/>
                <w:sz w:val="20"/>
                <w:szCs w:val="20"/>
              </w:rPr>
              <w:t>– (formerly paragraph 1.</w:t>
            </w:r>
            <w:r>
              <w:rPr>
                <w:rFonts w:ascii="Calibri" w:hAnsi="Calibri"/>
                <w:sz w:val="20"/>
                <w:szCs w:val="20"/>
              </w:rPr>
              <w:t>3</w:t>
            </w:r>
            <w:r w:rsidRPr="0028499D">
              <w:rPr>
                <w:rFonts w:ascii="Calibri" w:hAnsi="Calibri"/>
                <w:sz w:val="20"/>
                <w:szCs w:val="20"/>
              </w:rPr>
              <w:t>) added legislation links</w:t>
            </w:r>
            <w:r>
              <w:rPr>
                <w:rFonts w:ascii="Calibri" w:hAnsi="Calibri"/>
                <w:b/>
                <w:sz w:val="20"/>
                <w:szCs w:val="20"/>
              </w:rPr>
              <w:t xml:space="preserve"> </w:t>
            </w:r>
          </w:p>
        </w:tc>
      </w:tr>
      <w:tr w:rsidR="00552553" w:rsidRPr="00244088" w14:paraId="1F3FF9F6"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458AD389" w14:textId="77777777" w:rsidR="00552553" w:rsidRDefault="00552553" w:rsidP="00361406">
            <w:pPr>
              <w:rPr>
                <w:rFonts w:ascii="Calibri" w:hAnsi="Calibri"/>
              </w:rPr>
            </w:pPr>
          </w:p>
        </w:tc>
        <w:tc>
          <w:tcPr>
            <w:tcW w:w="992" w:type="dxa"/>
          </w:tcPr>
          <w:p w14:paraId="79E20323" w14:textId="20CF90E9" w:rsidR="00552553"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1.5</w:t>
            </w:r>
          </w:p>
        </w:tc>
        <w:tc>
          <w:tcPr>
            <w:tcW w:w="7807" w:type="dxa"/>
          </w:tcPr>
          <w:p w14:paraId="6E9F43C8" w14:textId="595A496F" w:rsidR="00552553"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r w:rsidRPr="0028499D">
              <w:rPr>
                <w:rFonts w:ascii="Calibri" w:hAnsi="Calibri"/>
                <w:sz w:val="20"/>
                <w:szCs w:val="20"/>
              </w:rPr>
              <w:t>minor editions/edits to</w:t>
            </w:r>
            <w:r>
              <w:rPr>
                <w:rFonts w:ascii="Calibri" w:hAnsi="Calibri"/>
                <w:b/>
                <w:sz w:val="20"/>
                <w:szCs w:val="20"/>
              </w:rPr>
              <w:t xml:space="preserve"> </w:t>
            </w:r>
            <w:hyperlink w:anchor="_1.5_Glossary" w:history="1">
              <w:r w:rsidRPr="00E414E1">
                <w:rPr>
                  <w:rStyle w:val="Hyperlink"/>
                  <w:rFonts w:ascii="Calibri" w:hAnsi="Calibri"/>
                  <w:sz w:val="20"/>
                  <w:szCs w:val="20"/>
                </w:rPr>
                <w:t>Glossary</w:t>
              </w:r>
            </w:hyperlink>
          </w:p>
        </w:tc>
      </w:tr>
      <w:tr w:rsidR="00552553" w:rsidRPr="00244088" w14:paraId="311E0D95"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49585469" w14:textId="77777777" w:rsidR="00552553" w:rsidDel="00282936" w:rsidRDefault="00552553" w:rsidP="00361406">
            <w:pPr>
              <w:rPr>
                <w:rFonts w:ascii="Calibri" w:hAnsi="Calibri"/>
              </w:rPr>
            </w:pPr>
          </w:p>
        </w:tc>
        <w:tc>
          <w:tcPr>
            <w:tcW w:w="992" w:type="dxa"/>
          </w:tcPr>
          <w:p w14:paraId="5CAB11E4" w14:textId="0D00A335" w:rsidR="00552553" w:rsidRPr="00A443F2" w:rsidRDefault="00703812"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2 &amp; </w:t>
            </w:r>
            <w:r w:rsidR="00552553">
              <w:rPr>
                <w:rFonts w:ascii="Calibri" w:hAnsi="Calibri"/>
                <w:sz w:val="20"/>
                <w:szCs w:val="20"/>
              </w:rPr>
              <w:t>2.1</w:t>
            </w:r>
          </w:p>
        </w:tc>
        <w:tc>
          <w:tcPr>
            <w:tcW w:w="7807" w:type="dxa"/>
          </w:tcPr>
          <w:p w14:paraId="29DA3830" w14:textId="025699F4"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b/>
                <w:sz w:val="20"/>
                <w:szCs w:val="20"/>
              </w:rPr>
              <w:t>Revised:</w:t>
            </w:r>
            <w:r>
              <w:rPr>
                <w:rFonts w:ascii="Calibri" w:hAnsi="Calibri"/>
                <w:sz w:val="20"/>
                <w:szCs w:val="20"/>
              </w:rPr>
              <w:t xml:space="preserve"> </w:t>
            </w:r>
            <w:r w:rsidR="00703812">
              <w:rPr>
                <w:rFonts w:ascii="Calibri" w:hAnsi="Calibri"/>
                <w:sz w:val="20"/>
                <w:szCs w:val="20"/>
              </w:rPr>
              <w:t xml:space="preserve">Section 2 and section 2.1 </w:t>
            </w:r>
            <w:r>
              <w:rPr>
                <w:rFonts w:ascii="Calibri" w:hAnsi="Calibri"/>
                <w:sz w:val="20"/>
                <w:szCs w:val="20"/>
              </w:rPr>
              <w:t>‘</w:t>
            </w:r>
            <w:hyperlink w:anchor="_2.1_Grandfathering_2017" w:history="1">
              <w:r w:rsidRPr="00CA41BC">
                <w:rPr>
                  <w:rStyle w:val="Hyperlink"/>
                  <w:rFonts w:ascii="Calibri" w:hAnsi="Calibri"/>
                  <w:sz w:val="20"/>
                  <w:szCs w:val="20"/>
                </w:rPr>
                <w:t>Grandfathering 2017</w:t>
              </w:r>
            </w:hyperlink>
            <w:r>
              <w:rPr>
                <w:rFonts w:ascii="Calibri" w:hAnsi="Calibri"/>
                <w:sz w:val="20"/>
                <w:szCs w:val="20"/>
              </w:rPr>
              <w:t>’</w:t>
            </w:r>
          </w:p>
        </w:tc>
      </w:tr>
      <w:tr w:rsidR="00552553" w:rsidRPr="00244088" w14:paraId="50747A67"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8FBD967" w14:textId="77777777" w:rsidR="00552553" w:rsidDel="00282936" w:rsidRDefault="00552553" w:rsidP="00361406">
            <w:pPr>
              <w:rPr>
                <w:rFonts w:ascii="Calibri" w:hAnsi="Calibri"/>
              </w:rPr>
            </w:pPr>
          </w:p>
        </w:tc>
        <w:tc>
          <w:tcPr>
            <w:tcW w:w="992" w:type="dxa"/>
          </w:tcPr>
          <w:p w14:paraId="20D0412D"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2.2</w:t>
            </w:r>
          </w:p>
        </w:tc>
        <w:tc>
          <w:tcPr>
            <w:tcW w:w="7807" w:type="dxa"/>
          </w:tcPr>
          <w:p w14:paraId="70611F61" w14:textId="77777777"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b/>
                <w:sz w:val="20"/>
                <w:szCs w:val="20"/>
              </w:rPr>
              <w:t>Added:</w:t>
            </w:r>
            <w:r>
              <w:rPr>
                <w:rFonts w:ascii="Calibri" w:hAnsi="Calibri"/>
                <w:sz w:val="20"/>
                <w:szCs w:val="20"/>
              </w:rPr>
              <w:t xml:space="preserve"> </w:t>
            </w:r>
            <w:r w:rsidRPr="008B1697">
              <w:rPr>
                <w:rFonts w:ascii="Calibri" w:hAnsi="Calibri"/>
                <w:b/>
                <w:sz w:val="20"/>
                <w:szCs w:val="20"/>
              </w:rPr>
              <w:t xml:space="preserve">NEW </w:t>
            </w:r>
            <w:r>
              <w:rPr>
                <w:rFonts w:ascii="Calibri" w:hAnsi="Calibri"/>
                <w:b/>
                <w:sz w:val="20"/>
                <w:szCs w:val="20"/>
              </w:rPr>
              <w:t>SUB</w:t>
            </w:r>
            <w:r w:rsidRPr="008B1697">
              <w:rPr>
                <w:rFonts w:ascii="Calibri" w:hAnsi="Calibri"/>
                <w:b/>
                <w:sz w:val="20"/>
                <w:szCs w:val="20"/>
              </w:rPr>
              <w:t>SECTION</w:t>
            </w:r>
            <w:r>
              <w:rPr>
                <w:rFonts w:ascii="Calibri" w:hAnsi="Calibri"/>
                <w:sz w:val="20"/>
                <w:szCs w:val="20"/>
              </w:rPr>
              <w:t xml:space="preserve"> - ‘</w:t>
            </w:r>
            <w:hyperlink w:anchor="_2.2_Grandfathering_2018" w:history="1">
              <w:r w:rsidRPr="00CA41BC">
                <w:rPr>
                  <w:rStyle w:val="Hyperlink"/>
                  <w:rFonts w:ascii="Calibri" w:hAnsi="Calibri"/>
                  <w:sz w:val="20"/>
                  <w:szCs w:val="20"/>
                </w:rPr>
                <w:t>Grandfathering 2018</w:t>
              </w:r>
            </w:hyperlink>
            <w:r>
              <w:rPr>
                <w:rFonts w:ascii="Calibri" w:hAnsi="Calibri"/>
                <w:sz w:val="20"/>
                <w:szCs w:val="20"/>
              </w:rPr>
              <w:t>’</w:t>
            </w:r>
          </w:p>
        </w:tc>
      </w:tr>
      <w:tr w:rsidR="00552553" w:rsidRPr="00244088" w14:paraId="2A700BB2"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1F88A467" w14:textId="77777777" w:rsidR="00552553" w:rsidDel="00282936" w:rsidRDefault="00552553" w:rsidP="00361406">
            <w:pPr>
              <w:rPr>
                <w:rFonts w:ascii="Calibri" w:hAnsi="Calibri"/>
              </w:rPr>
            </w:pPr>
          </w:p>
        </w:tc>
        <w:tc>
          <w:tcPr>
            <w:tcW w:w="992" w:type="dxa"/>
          </w:tcPr>
          <w:p w14:paraId="5817B4DF" w14:textId="77777777" w:rsidR="00552553"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2.3</w:t>
            </w:r>
          </w:p>
        </w:tc>
        <w:tc>
          <w:tcPr>
            <w:tcW w:w="7807" w:type="dxa"/>
          </w:tcPr>
          <w:p w14:paraId="2082A45B" w14:textId="3063D554" w:rsidR="00552553"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Revised: </w:t>
            </w:r>
            <w:r w:rsidRPr="0028499D">
              <w:rPr>
                <w:rStyle w:val="Hyperlink"/>
                <w:rFonts w:ascii="Calibri" w:hAnsi="Calibri"/>
                <w:sz w:val="20"/>
              </w:rPr>
              <w:t>‘</w:t>
            </w:r>
            <w:hyperlink w:anchor="_2.3_Reporting_grandfathered" w:history="1">
              <w:r w:rsidRPr="00E414E1">
                <w:rPr>
                  <w:rStyle w:val="Hyperlink"/>
                  <w:rFonts w:ascii="Calibri" w:hAnsi="Calibri"/>
                  <w:sz w:val="20"/>
                </w:rPr>
                <w:t>Reporting grandfathered students</w:t>
              </w:r>
            </w:hyperlink>
            <w:r w:rsidRPr="0028499D">
              <w:rPr>
                <w:rStyle w:val="Hyperlink"/>
                <w:rFonts w:ascii="Calibri" w:hAnsi="Calibri"/>
                <w:sz w:val="20"/>
              </w:rPr>
              <w:t>’</w:t>
            </w:r>
            <w:r w:rsidRPr="00001271">
              <w:rPr>
                <w:rFonts w:ascii="Calibri" w:hAnsi="Calibri"/>
                <w:sz w:val="20"/>
                <w:szCs w:val="20"/>
              </w:rPr>
              <w:t>(formerly section 2.7)</w:t>
            </w:r>
            <w:r>
              <w:rPr>
                <w:rFonts w:ascii="Calibri" w:hAnsi="Calibri"/>
                <w:b/>
                <w:sz w:val="20"/>
                <w:szCs w:val="20"/>
              </w:rPr>
              <w:t xml:space="preserve"> – </w:t>
            </w:r>
            <w:r w:rsidRPr="0028499D">
              <w:rPr>
                <w:rFonts w:ascii="Calibri" w:hAnsi="Calibri"/>
                <w:sz w:val="20"/>
                <w:szCs w:val="20"/>
              </w:rPr>
              <w:t>Removed unnecessary text</w:t>
            </w:r>
            <w:r>
              <w:rPr>
                <w:rFonts w:ascii="Calibri" w:hAnsi="Calibri"/>
                <w:b/>
                <w:sz w:val="20"/>
                <w:szCs w:val="20"/>
              </w:rPr>
              <w:t xml:space="preserve"> </w:t>
            </w:r>
          </w:p>
        </w:tc>
      </w:tr>
      <w:tr w:rsidR="00552553" w:rsidRPr="00244088" w14:paraId="29864A99"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277D6489" w14:textId="77777777" w:rsidR="00552553" w:rsidDel="00282936" w:rsidRDefault="00552553" w:rsidP="00361406">
            <w:pPr>
              <w:rPr>
                <w:rFonts w:ascii="Calibri" w:hAnsi="Calibri"/>
              </w:rPr>
            </w:pPr>
          </w:p>
        </w:tc>
        <w:tc>
          <w:tcPr>
            <w:tcW w:w="992" w:type="dxa"/>
          </w:tcPr>
          <w:p w14:paraId="1086B071"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w:t>
            </w:r>
          </w:p>
        </w:tc>
        <w:tc>
          <w:tcPr>
            <w:tcW w:w="7807" w:type="dxa"/>
          </w:tcPr>
          <w:p w14:paraId="1A2B9C45" w14:textId="77777777"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Updated: </w:t>
            </w:r>
            <w:r w:rsidRPr="008205CD">
              <w:rPr>
                <w:rFonts w:ascii="Calibri" w:hAnsi="Calibri"/>
                <w:sz w:val="20"/>
                <w:szCs w:val="20"/>
              </w:rPr>
              <w:t xml:space="preserve">to refer to </w:t>
            </w:r>
            <w:hyperlink w:anchor="_3._Becoming_an" w:history="1">
              <w:r w:rsidRPr="00CA41BC">
                <w:rPr>
                  <w:rStyle w:val="Hyperlink"/>
                  <w:rFonts w:ascii="Calibri" w:hAnsi="Calibri"/>
                  <w:sz w:val="20"/>
                  <w:szCs w:val="20"/>
                </w:rPr>
                <w:t>subsequent application rounds</w:t>
              </w:r>
            </w:hyperlink>
          </w:p>
        </w:tc>
      </w:tr>
      <w:tr w:rsidR="00552553" w:rsidRPr="00244088" w14:paraId="3CF224AE"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1FE89DE3" w14:textId="77777777" w:rsidR="00552553" w:rsidRDefault="00552553" w:rsidP="00361406">
            <w:pPr>
              <w:rPr>
                <w:rFonts w:ascii="Calibri" w:hAnsi="Calibri"/>
              </w:rPr>
            </w:pPr>
          </w:p>
        </w:tc>
        <w:tc>
          <w:tcPr>
            <w:tcW w:w="992" w:type="dxa"/>
          </w:tcPr>
          <w:p w14:paraId="39FDD0D3"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3.1</w:t>
            </w:r>
          </w:p>
        </w:tc>
        <w:tc>
          <w:tcPr>
            <w:tcW w:w="7807" w:type="dxa"/>
          </w:tcPr>
          <w:p w14:paraId="594113CE" w14:textId="77777777"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b/>
                <w:sz w:val="20"/>
                <w:szCs w:val="20"/>
              </w:rPr>
              <w:t>Added:</w:t>
            </w:r>
            <w:r w:rsidRPr="00A443F2">
              <w:rPr>
                <w:rFonts w:ascii="Calibri" w:hAnsi="Calibri"/>
                <w:sz w:val="20"/>
                <w:szCs w:val="20"/>
              </w:rPr>
              <w:t xml:space="preserve"> </w:t>
            </w:r>
            <w:r w:rsidRPr="00A443F2">
              <w:rPr>
                <w:rFonts w:ascii="Calibri" w:hAnsi="Calibri"/>
                <w:b/>
                <w:sz w:val="20"/>
                <w:szCs w:val="20"/>
              </w:rPr>
              <w:t xml:space="preserve">NEW </w:t>
            </w:r>
            <w:r>
              <w:rPr>
                <w:rFonts w:ascii="Calibri" w:hAnsi="Calibri"/>
                <w:b/>
                <w:sz w:val="20"/>
                <w:szCs w:val="20"/>
              </w:rPr>
              <w:t>SUB</w:t>
            </w:r>
            <w:r w:rsidRPr="00A443F2">
              <w:rPr>
                <w:rFonts w:ascii="Calibri" w:hAnsi="Calibri"/>
                <w:b/>
                <w:sz w:val="20"/>
                <w:szCs w:val="20"/>
              </w:rPr>
              <w:t>SECTION</w:t>
            </w:r>
            <w:r w:rsidRPr="00A443F2">
              <w:rPr>
                <w:rFonts w:ascii="Calibri" w:hAnsi="Calibri"/>
                <w:sz w:val="20"/>
                <w:szCs w:val="20"/>
              </w:rPr>
              <w:t xml:space="preserve">  - </w:t>
            </w:r>
            <w:r>
              <w:rPr>
                <w:rFonts w:ascii="Calibri" w:hAnsi="Calibri"/>
                <w:sz w:val="20"/>
                <w:szCs w:val="20"/>
              </w:rPr>
              <w:t>‘</w:t>
            </w:r>
            <w:hyperlink w:anchor="_3.1_Application_fee" w:history="1">
              <w:r w:rsidRPr="00CA41BC">
                <w:rPr>
                  <w:rStyle w:val="Hyperlink"/>
                  <w:rFonts w:ascii="Calibri" w:hAnsi="Calibri"/>
                  <w:sz w:val="20"/>
                  <w:szCs w:val="20"/>
                </w:rPr>
                <w:t>Application fee</w:t>
              </w:r>
            </w:hyperlink>
            <w:r>
              <w:rPr>
                <w:rFonts w:ascii="Calibri" w:hAnsi="Calibri"/>
                <w:sz w:val="20"/>
                <w:szCs w:val="20"/>
              </w:rPr>
              <w:t>’</w:t>
            </w:r>
          </w:p>
        </w:tc>
      </w:tr>
      <w:tr w:rsidR="00552553" w:rsidRPr="00244088" w14:paraId="5079E623"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3075F849" w14:textId="77777777" w:rsidR="00552553" w:rsidRDefault="00552553" w:rsidP="00361406">
            <w:pPr>
              <w:rPr>
                <w:rFonts w:ascii="Calibri" w:hAnsi="Calibri"/>
              </w:rPr>
            </w:pPr>
          </w:p>
        </w:tc>
        <w:tc>
          <w:tcPr>
            <w:tcW w:w="992" w:type="dxa"/>
          </w:tcPr>
          <w:p w14:paraId="38C2D087"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3.2</w:t>
            </w:r>
          </w:p>
        </w:tc>
        <w:tc>
          <w:tcPr>
            <w:tcW w:w="7807" w:type="dxa"/>
          </w:tcPr>
          <w:p w14:paraId="24C693E0" w14:textId="6DA534A7"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b/>
                <w:sz w:val="20"/>
                <w:szCs w:val="20"/>
              </w:rPr>
              <w:t>Added:</w:t>
            </w:r>
            <w:r w:rsidRPr="00A443F2">
              <w:rPr>
                <w:rFonts w:ascii="Calibri" w:hAnsi="Calibri"/>
                <w:sz w:val="20"/>
                <w:szCs w:val="20"/>
              </w:rPr>
              <w:t xml:space="preserve"> </w:t>
            </w:r>
            <w:r w:rsidRPr="00A443F2">
              <w:rPr>
                <w:rFonts w:ascii="Calibri" w:hAnsi="Calibri"/>
                <w:b/>
                <w:sz w:val="20"/>
                <w:szCs w:val="20"/>
              </w:rPr>
              <w:t xml:space="preserve">NEW </w:t>
            </w:r>
            <w:r>
              <w:rPr>
                <w:rFonts w:ascii="Calibri" w:hAnsi="Calibri"/>
                <w:b/>
                <w:sz w:val="20"/>
                <w:szCs w:val="20"/>
              </w:rPr>
              <w:t>SUB</w:t>
            </w:r>
            <w:r w:rsidRPr="00A443F2">
              <w:rPr>
                <w:rFonts w:ascii="Calibri" w:hAnsi="Calibri"/>
                <w:b/>
                <w:sz w:val="20"/>
                <w:szCs w:val="20"/>
              </w:rPr>
              <w:t>SECTION</w:t>
            </w:r>
            <w:r w:rsidRPr="00A443F2">
              <w:rPr>
                <w:rFonts w:ascii="Calibri" w:hAnsi="Calibri"/>
                <w:sz w:val="20"/>
                <w:szCs w:val="20"/>
              </w:rPr>
              <w:t xml:space="preserve"> </w:t>
            </w:r>
            <w:r>
              <w:rPr>
                <w:rFonts w:ascii="Calibri" w:hAnsi="Calibri"/>
                <w:sz w:val="20"/>
                <w:szCs w:val="20"/>
              </w:rPr>
              <w:t>–</w:t>
            </w:r>
            <w:r w:rsidRPr="00A443F2">
              <w:rPr>
                <w:rFonts w:ascii="Calibri" w:hAnsi="Calibri"/>
                <w:sz w:val="20"/>
                <w:szCs w:val="20"/>
              </w:rPr>
              <w:t xml:space="preserve"> </w:t>
            </w:r>
            <w:r>
              <w:rPr>
                <w:rFonts w:ascii="Calibri" w:hAnsi="Calibri"/>
                <w:sz w:val="20"/>
                <w:szCs w:val="20"/>
              </w:rPr>
              <w:t>‘</w:t>
            </w:r>
            <w:hyperlink w:anchor="_3.2_Annual_charge" w:history="1">
              <w:r w:rsidRPr="00CA41BC">
                <w:rPr>
                  <w:rStyle w:val="Hyperlink"/>
                  <w:rFonts w:ascii="Calibri" w:hAnsi="Calibri"/>
                  <w:sz w:val="20"/>
                  <w:szCs w:val="20"/>
                </w:rPr>
                <w:t>Annual charge</w:t>
              </w:r>
            </w:hyperlink>
            <w:r>
              <w:rPr>
                <w:rFonts w:ascii="Calibri" w:hAnsi="Calibri"/>
                <w:sz w:val="20"/>
                <w:szCs w:val="20"/>
              </w:rPr>
              <w:t>’</w:t>
            </w:r>
          </w:p>
        </w:tc>
      </w:tr>
      <w:tr w:rsidR="00B2684B" w:rsidRPr="00244088" w14:paraId="4903705D"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5D8EB03" w14:textId="77777777" w:rsidR="00B2684B" w:rsidRDefault="00B2684B" w:rsidP="00361406">
            <w:pPr>
              <w:rPr>
                <w:rFonts w:ascii="Calibri" w:hAnsi="Calibri"/>
              </w:rPr>
            </w:pPr>
          </w:p>
        </w:tc>
        <w:tc>
          <w:tcPr>
            <w:tcW w:w="992" w:type="dxa"/>
          </w:tcPr>
          <w:p w14:paraId="4DBCC63A" w14:textId="37E2E7EC" w:rsidR="00B2684B" w:rsidRDefault="00B2684B"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4.1.4</w:t>
            </w:r>
          </w:p>
        </w:tc>
        <w:tc>
          <w:tcPr>
            <w:tcW w:w="7807" w:type="dxa"/>
          </w:tcPr>
          <w:p w14:paraId="5E0D8DBD" w14:textId="02834F4D" w:rsidR="00B2684B" w:rsidRDefault="00B2684B" w:rsidP="00BD04D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Revised:  </w:t>
            </w:r>
            <w:r w:rsidRPr="00B2684B">
              <w:rPr>
                <w:rFonts w:ascii="Calibri" w:hAnsi="Calibri"/>
                <w:sz w:val="20"/>
                <w:szCs w:val="20"/>
              </w:rPr>
              <w:t>penalty units</w:t>
            </w:r>
          </w:p>
        </w:tc>
      </w:tr>
      <w:tr w:rsidR="00552553" w:rsidRPr="00244088" w14:paraId="53C8879F"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F7EA02F" w14:textId="77777777" w:rsidR="00552553" w:rsidRDefault="00552553" w:rsidP="00361406">
            <w:pPr>
              <w:rPr>
                <w:rFonts w:ascii="Calibri" w:hAnsi="Calibri"/>
              </w:rPr>
            </w:pPr>
          </w:p>
        </w:tc>
        <w:tc>
          <w:tcPr>
            <w:tcW w:w="992" w:type="dxa"/>
          </w:tcPr>
          <w:p w14:paraId="67D41240" w14:textId="3631BC75"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4.2.3</w:t>
            </w:r>
            <w:r w:rsidR="00E414E1">
              <w:rPr>
                <w:rFonts w:ascii="Calibri" w:hAnsi="Calibri"/>
                <w:sz w:val="20"/>
                <w:szCs w:val="20"/>
              </w:rPr>
              <w:t>.3</w:t>
            </w:r>
          </w:p>
        </w:tc>
        <w:tc>
          <w:tcPr>
            <w:tcW w:w="7807" w:type="dxa"/>
          </w:tcPr>
          <w:p w14:paraId="4DCCFFBC" w14:textId="7C12170C" w:rsidR="00552553" w:rsidRPr="00A443F2" w:rsidRDefault="00552553" w:rsidP="00BD04D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Added:</w:t>
            </w:r>
            <w:r>
              <w:rPr>
                <w:rFonts w:ascii="Calibri" w:hAnsi="Calibri"/>
                <w:sz w:val="20"/>
                <w:szCs w:val="20"/>
              </w:rPr>
              <w:t xml:space="preserve"> </w:t>
            </w:r>
            <w:r w:rsidR="00BD04DA" w:rsidRPr="00BD04DA">
              <w:rPr>
                <w:rFonts w:ascii="Calibri" w:hAnsi="Calibri"/>
                <w:b/>
                <w:sz w:val="20"/>
                <w:szCs w:val="20"/>
              </w:rPr>
              <w:t>NEW SECTION</w:t>
            </w:r>
            <w:r>
              <w:rPr>
                <w:rFonts w:ascii="Calibri" w:hAnsi="Calibri"/>
                <w:sz w:val="20"/>
                <w:szCs w:val="20"/>
              </w:rPr>
              <w:t xml:space="preserve"> </w:t>
            </w:r>
            <w:r w:rsidRPr="00A41C46">
              <w:rPr>
                <w:rFonts w:ascii="Calibri" w:hAnsi="Calibri"/>
                <w:sz w:val="20"/>
                <w:szCs w:val="20"/>
              </w:rPr>
              <w:t xml:space="preserve">– </w:t>
            </w:r>
            <w:r w:rsidR="00E414E1">
              <w:rPr>
                <w:rFonts w:ascii="Calibri" w:hAnsi="Calibri"/>
                <w:sz w:val="20"/>
                <w:szCs w:val="20"/>
              </w:rPr>
              <w:t>‘</w:t>
            </w:r>
            <w:hyperlink w:anchor="_Commissions_for_provider" w:history="1">
              <w:r>
                <w:rPr>
                  <w:rStyle w:val="Hyperlink"/>
                  <w:rFonts w:ascii="Calibri" w:hAnsi="Calibri"/>
                  <w:sz w:val="20"/>
                  <w:szCs w:val="20"/>
                </w:rPr>
                <w:t>C</w:t>
              </w:r>
              <w:r w:rsidRPr="00CA41BC">
                <w:rPr>
                  <w:rStyle w:val="Hyperlink"/>
                  <w:rFonts w:ascii="Calibri" w:hAnsi="Calibri"/>
                  <w:sz w:val="20"/>
                  <w:szCs w:val="20"/>
                </w:rPr>
                <w:t>ommissions for provider staff</w:t>
              </w:r>
            </w:hyperlink>
            <w:r w:rsidR="00E414E1">
              <w:rPr>
                <w:rStyle w:val="Hyperlink"/>
                <w:rFonts w:ascii="Calibri" w:hAnsi="Calibri"/>
                <w:sz w:val="20"/>
                <w:szCs w:val="20"/>
              </w:rPr>
              <w:t>’</w:t>
            </w:r>
          </w:p>
        </w:tc>
      </w:tr>
      <w:tr w:rsidR="00552553" w:rsidRPr="00244088" w14:paraId="38098646"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4F07B65A" w14:textId="77777777" w:rsidR="00552553" w:rsidRDefault="00552553" w:rsidP="00361406">
            <w:pPr>
              <w:rPr>
                <w:rFonts w:ascii="Calibri" w:hAnsi="Calibri"/>
              </w:rPr>
            </w:pPr>
          </w:p>
        </w:tc>
        <w:tc>
          <w:tcPr>
            <w:tcW w:w="992" w:type="dxa"/>
          </w:tcPr>
          <w:p w14:paraId="75EB817E" w14:textId="2D1FC368" w:rsidR="00552553" w:rsidRDefault="00552553" w:rsidP="006576E6">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4.2.</w:t>
            </w:r>
            <w:r w:rsidR="002329D7">
              <w:rPr>
                <w:rFonts w:ascii="Calibri" w:hAnsi="Calibri"/>
                <w:sz w:val="20"/>
                <w:szCs w:val="20"/>
              </w:rPr>
              <w:t>3.5</w:t>
            </w:r>
          </w:p>
        </w:tc>
        <w:tc>
          <w:tcPr>
            <w:tcW w:w="7807" w:type="dxa"/>
          </w:tcPr>
          <w:p w14:paraId="66D3C711" w14:textId="6AA9F6D7" w:rsidR="00552553" w:rsidRDefault="00552553" w:rsidP="006576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r w:rsidRPr="0028499D">
              <w:rPr>
                <w:rStyle w:val="Hyperlink"/>
                <w:rFonts w:ascii="Calibri" w:hAnsi="Calibri"/>
                <w:sz w:val="20"/>
              </w:rPr>
              <w:t>‘</w:t>
            </w:r>
            <w:hyperlink w:anchor="_Student_outcomes_and" w:history="1">
              <w:r w:rsidRPr="002329D7">
                <w:rPr>
                  <w:rStyle w:val="Hyperlink"/>
                  <w:rFonts w:ascii="Calibri" w:hAnsi="Calibri"/>
                  <w:sz w:val="20"/>
                </w:rPr>
                <w:t xml:space="preserve">Student outcomes and </w:t>
              </w:r>
              <w:r w:rsidR="002329D7" w:rsidRPr="002329D7">
                <w:rPr>
                  <w:rStyle w:val="Hyperlink"/>
                  <w:rFonts w:ascii="Calibri" w:hAnsi="Calibri"/>
                  <w:sz w:val="20"/>
                </w:rPr>
                <w:t xml:space="preserve">workplace </w:t>
              </w:r>
              <w:r w:rsidRPr="002329D7">
                <w:rPr>
                  <w:rStyle w:val="Hyperlink"/>
                  <w:rFonts w:ascii="Calibri" w:hAnsi="Calibri"/>
                  <w:sz w:val="20"/>
                </w:rPr>
                <w:t>relevance</w:t>
              </w:r>
            </w:hyperlink>
            <w:r w:rsidRPr="0028499D">
              <w:rPr>
                <w:rStyle w:val="Hyperlink"/>
                <w:rFonts w:ascii="Calibri" w:hAnsi="Calibri"/>
                <w:sz w:val="20"/>
              </w:rPr>
              <w:t>’</w:t>
            </w:r>
            <w:r>
              <w:rPr>
                <w:rFonts w:ascii="Calibri" w:hAnsi="Calibri"/>
                <w:b/>
                <w:sz w:val="20"/>
                <w:szCs w:val="20"/>
              </w:rPr>
              <w:t xml:space="preserve"> – </w:t>
            </w:r>
            <w:r w:rsidRPr="0028499D">
              <w:rPr>
                <w:rFonts w:ascii="Calibri" w:hAnsi="Calibri"/>
                <w:sz w:val="20"/>
                <w:szCs w:val="20"/>
              </w:rPr>
              <w:t>added paragraph to</w:t>
            </w:r>
            <w:r>
              <w:rPr>
                <w:rFonts w:ascii="Calibri" w:hAnsi="Calibri"/>
                <w:b/>
                <w:sz w:val="20"/>
                <w:szCs w:val="20"/>
              </w:rPr>
              <w:t xml:space="preserve"> ‘</w:t>
            </w:r>
            <w:r w:rsidRPr="0028499D">
              <w:rPr>
                <w:rFonts w:ascii="Calibri" w:hAnsi="Calibri"/>
                <w:b/>
                <w:i/>
                <w:sz w:val="20"/>
                <w:szCs w:val="20"/>
              </w:rPr>
              <w:t>Completion rates</w:t>
            </w:r>
            <w:r>
              <w:rPr>
                <w:rFonts w:ascii="Calibri" w:hAnsi="Calibri"/>
                <w:b/>
                <w:sz w:val="20"/>
                <w:szCs w:val="20"/>
              </w:rPr>
              <w:t xml:space="preserve">’ </w:t>
            </w:r>
            <w:r w:rsidRPr="0028499D">
              <w:rPr>
                <w:rFonts w:ascii="Calibri" w:hAnsi="Calibri"/>
                <w:sz w:val="20"/>
                <w:szCs w:val="20"/>
              </w:rPr>
              <w:t>section</w:t>
            </w:r>
          </w:p>
        </w:tc>
      </w:tr>
      <w:tr w:rsidR="00552553" w:rsidRPr="00244088" w14:paraId="38043445"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5607DC99" w14:textId="77777777" w:rsidR="00552553" w:rsidRDefault="00552553" w:rsidP="00361406">
            <w:pPr>
              <w:rPr>
                <w:rFonts w:ascii="Calibri" w:hAnsi="Calibri"/>
              </w:rPr>
            </w:pPr>
          </w:p>
        </w:tc>
        <w:tc>
          <w:tcPr>
            <w:tcW w:w="992" w:type="dxa"/>
          </w:tcPr>
          <w:p w14:paraId="06A6BEAA" w14:textId="7D97EDF2" w:rsidR="00552553"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4.3</w:t>
            </w:r>
          </w:p>
        </w:tc>
        <w:tc>
          <w:tcPr>
            <w:tcW w:w="7807" w:type="dxa"/>
          </w:tcPr>
          <w:p w14:paraId="45ED3482" w14:textId="52899FDB" w:rsidR="00552553"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Revised: </w:t>
            </w:r>
            <w:r w:rsidRPr="0048492C">
              <w:rPr>
                <w:rStyle w:val="Hyperlink"/>
                <w:rFonts w:ascii="Calibri" w:hAnsi="Calibri"/>
                <w:b w:val="0"/>
                <w:sz w:val="20"/>
              </w:rPr>
              <w:t>‘</w:t>
            </w:r>
            <w:hyperlink w:anchor="_Tuition_assurance_1" w:history="1">
              <w:r w:rsidRPr="0071180D">
                <w:rPr>
                  <w:rStyle w:val="Hyperlink"/>
                  <w:rFonts w:ascii="Calibri" w:hAnsi="Calibri"/>
                  <w:sz w:val="20"/>
                </w:rPr>
                <w:t>Tuition Assurance</w:t>
              </w:r>
            </w:hyperlink>
            <w:r w:rsidRPr="0048492C">
              <w:rPr>
                <w:rStyle w:val="Hyperlink"/>
                <w:rFonts w:ascii="Calibri" w:hAnsi="Calibri"/>
                <w:b w:val="0"/>
                <w:sz w:val="20"/>
              </w:rPr>
              <w:t>’</w:t>
            </w:r>
            <w:r>
              <w:rPr>
                <w:rFonts w:ascii="Calibri" w:hAnsi="Calibri"/>
                <w:b/>
                <w:sz w:val="20"/>
                <w:szCs w:val="20"/>
              </w:rPr>
              <w:t xml:space="preserve"> </w:t>
            </w:r>
            <w:r w:rsidRPr="0048492C">
              <w:rPr>
                <w:rFonts w:ascii="Calibri" w:hAnsi="Calibri"/>
                <w:sz w:val="20"/>
                <w:szCs w:val="20"/>
              </w:rPr>
              <w:t>– new arrangements introduced for 2018</w:t>
            </w:r>
          </w:p>
        </w:tc>
      </w:tr>
      <w:tr w:rsidR="00552553" w:rsidRPr="00244088" w14:paraId="703C2DE3"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070FADA" w14:textId="77777777" w:rsidR="00552553" w:rsidRDefault="00552553" w:rsidP="00361406">
            <w:pPr>
              <w:rPr>
                <w:rFonts w:ascii="Calibri" w:hAnsi="Calibri"/>
              </w:rPr>
            </w:pPr>
          </w:p>
        </w:tc>
        <w:tc>
          <w:tcPr>
            <w:tcW w:w="992" w:type="dxa"/>
          </w:tcPr>
          <w:p w14:paraId="69546BB6"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4.5</w:t>
            </w:r>
          </w:p>
        </w:tc>
        <w:tc>
          <w:tcPr>
            <w:tcW w:w="7807" w:type="dxa"/>
          </w:tcPr>
          <w:p w14:paraId="66B5223F" w14:textId="24794B67"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Edited: </w:t>
            </w:r>
            <w:r w:rsidRPr="0028499D">
              <w:rPr>
                <w:rFonts w:ascii="Calibri" w:hAnsi="Calibri"/>
                <w:sz w:val="20"/>
                <w:szCs w:val="20"/>
              </w:rPr>
              <w:t>for clarity and IT update –</w:t>
            </w:r>
            <w:r>
              <w:rPr>
                <w:rFonts w:ascii="Calibri" w:hAnsi="Calibri"/>
                <w:b/>
                <w:sz w:val="20"/>
                <w:szCs w:val="20"/>
              </w:rPr>
              <w:t xml:space="preserve"> ‘</w:t>
            </w:r>
            <w:hyperlink w:anchor="_Qualifying_Courses" w:history="1">
              <w:r w:rsidRPr="002329D7">
                <w:rPr>
                  <w:rStyle w:val="Hyperlink"/>
                  <w:rFonts w:ascii="Calibri" w:hAnsi="Calibri"/>
                  <w:i/>
                  <w:sz w:val="20"/>
                  <w:szCs w:val="20"/>
                </w:rPr>
                <w:t>Qualifying Courses</w:t>
              </w:r>
            </w:hyperlink>
            <w:r>
              <w:rPr>
                <w:rFonts w:ascii="Calibri" w:hAnsi="Calibri"/>
                <w:b/>
                <w:sz w:val="20"/>
                <w:szCs w:val="20"/>
              </w:rPr>
              <w:t xml:space="preserve">’ </w:t>
            </w:r>
            <w:r w:rsidRPr="0028499D">
              <w:rPr>
                <w:rFonts w:ascii="Calibri" w:hAnsi="Calibri"/>
                <w:sz w:val="20"/>
                <w:szCs w:val="20"/>
              </w:rPr>
              <w:t>section</w:t>
            </w:r>
          </w:p>
        </w:tc>
      </w:tr>
      <w:tr w:rsidR="00552553" w:rsidRPr="00244088" w14:paraId="4D93987F"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4FB94697" w14:textId="77777777" w:rsidR="00552553" w:rsidRDefault="00552553" w:rsidP="00361406">
            <w:pPr>
              <w:rPr>
                <w:rFonts w:ascii="Calibri" w:hAnsi="Calibri"/>
              </w:rPr>
            </w:pPr>
          </w:p>
        </w:tc>
        <w:tc>
          <w:tcPr>
            <w:tcW w:w="992" w:type="dxa"/>
          </w:tcPr>
          <w:p w14:paraId="11D5E2B4"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4.5.1</w:t>
            </w:r>
          </w:p>
        </w:tc>
        <w:tc>
          <w:tcPr>
            <w:tcW w:w="7807" w:type="dxa"/>
          </w:tcPr>
          <w:p w14:paraId="5566D0AE" w14:textId="7125F226"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Edited: </w:t>
            </w:r>
            <w:hyperlink w:anchor="_4.5.1__" w:history="1">
              <w:r w:rsidRPr="00EE11A8">
                <w:rPr>
                  <w:rStyle w:val="Hyperlink"/>
                  <w:rFonts w:ascii="Calibri" w:hAnsi="Calibri"/>
                  <w:sz w:val="20"/>
                </w:rPr>
                <w:t>Process for approved providers applying for additional courses</w:t>
              </w:r>
            </w:hyperlink>
            <w:r>
              <w:rPr>
                <w:rFonts w:ascii="Calibri" w:hAnsi="Calibri"/>
                <w:b/>
                <w:sz w:val="20"/>
                <w:szCs w:val="20"/>
              </w:rPr>
              <w:t xml:space="preserve"> </w:t>
            </w:r>
            <w:r w:rsidRPr="0028499D">
              <w:rPr>
                <w:rFonts w:ascii="Calibri" w:hAnsi="Calibri"/>
                <w:sz w:val="20"/>
                <w:szCs w:val="20"/>
              </w:rPr>
              <w:t>– text revised for clarity</w:t>
            </w:r>
          </w:p>
        </w:tc>
      </w:tr>
      <w:tr w:rsidR="00552553" w:rsidRPr="00244088" w14:paraId="60E4E180"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324E3148" w14:textId="77777777" w:rsidR="00552553" w:rsidRDefault="00552553" w:rsidP="00361406">
            <w:pPr>
              <w:rPr>
                <w:rFonts w:ascii="Calibri" w:hAnsi="Calibri"/>
              </w:rPr>
            </w:pPr>
          </w:p>
        </w:tc>
        <w:tc>
          <w:tcPr>
            <w:tcW w:w="992" w:type="dxa"/>
          </w:tcPr>
          <w:p w14:paraId="7CC55545"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4.5.2</w:t>
            </w:r>
          </w:p>
        </w:tc>
        <w:tc>
          <w:tcPr>
            <w:tcW w:w="7807" w:type="dxa"/>
          </w:tcPr>
          <w:p w14:paraId="39652829" w14:textId="61E55399"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b/>
                <w:sz w:val="20"/>
                <w:szCs w:val="20"/>
              </w:rPr>
              <w:t>Correction:</w:t>
            </w:r>
            <w:r w:rsidRPr="00A443F2">
              <w:rPr>
                <w:rFonts w:ascii="Calibri" w:hAnsi="Calibri"/>
                <w:sz w:val="20"/>
                <w:szCs w:val="20"/>
              </w:rPr>
              <w:t xml:space="preserve"> typographical error </w:t>
            </w:r>
          </w:p>
        </w:tc>
      </w:tr>
      <w:tr w:rsidR="00552553" w:rsidRPr="00244088" w14:paraId="223B8C9D"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47ABE170" w14:textId="77777777" w:rsidR="00552553" w:rsidRDefault="00552553" w:rsidP="00361406">
            <w:pPr>
              <w:rPr>
                <w:rFonts w:ascii="Calibri" w:hAnsi="Calibri"/>
              </w:rPr>
            </w:pPr>
          </w:p>
        </w:tc>
        <w:tc>
          <w:tcPr>
            <w:tcW w:w="992" w:type="dxa"/>
          </w:tcPr>
          <w:p w14:paraId="27F45BC8"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4.5.3</w:t>
            </w:r>
          </w:p>
        </w:tc>
        <w:tc>
          <w:tcPr>
            <w:tcW w:w="7807" w:type="dxa"/>
          </w:tcPr>
          <w:p w14:paraId="6471D62E" w14:textId="7D8A270E"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Correction: </w:t>
            </w:r>
            <w:r w:rsidRPr="0028499D">
              <w:rPr>
                <w:rStyle w:val="Hyperlink"/>
                <w:rFonts w:ascii="Calibri" w:hAnsi="Calibri"/>
                <w:sz w:val="20"/>
              </w:rPr>
              <w:t>‘</w:t>
            </w:r>
            <w:hyperlink w:anchor="_4.5.3__" w:history="1">
              <w:r w:rsidRPr="00EE11A8">
                <w:rPr>
                  <w:rStyle w:val="Hyperlink"/>
                  <w:rFonts w:ascii="Calibri" w:hAnsi="Calibri"/>
                  <w:sz w:val="20"/>
                </w:rPr>
                <w:t>Superseded, deleted and non-current courses</w:t>
              </w:r>
            </w:hyperlink>
            <w:r w:rsidRPr="0028499D">
              <w:rPr>
                <w:rStyle w:val="Hyperlink"/>
                <w:rFonts w:ascii="Calibri" w:hAnsi="Calibri"/>
                <w:sz w:val="20"/>
              </w:rPr>
              <w:t>’</w:t>
            </w:r>
            <w:r>
              <w:rPr>
                <w:rFonts w:ascii="Calibri" w:hAnsi="Calibri"/>
                <w:b/>
                <w:sz w:val="20"/>
                <w:szCs w:val="20"/>
              </w:rPr>
              <w:t xml:space="preserve"> </w:t>
            </w:r>
            <w:r w:rsidRPr="0028499D">
              <w:rPr>
                <w:rFonts w:ascii="Calibri" w:hAnsi="Calibri"/>
                <w:sz w:val="20"/>
                <w:szCs w:val="20"/>
              </w:rPr>
              <w:t xml:space="preserve">– text edited to clarify </w:t>
            </w:r>
            <w:r>
              <w:rPr>
                <w:rFonts w:ascii="Calibri" w:hAnsi="Calibri"/>
                <w:sz w:val="20"/>
                <w:szCs w:val="20"/>
              </w:rPr>
              <w:t xml:space="preserve">loan </w:t>
            </w:r>
            <w:r w:rsidRPr="0028499D">
              <w:rPr>
                <w:rFonts w:ascii="Calibri" w:hAnsi="Calibri"/>
                <w:sz w:val="20"/>
                <w:szCs w:val="20"/>
              </w:rPr>
              <w:t>access</w:t>
            </w:r>
          </w:p>
        </w:tc>
      </w:tr>
      <w:tr w:rsidR="00552553" w:rsidRPr="00244088" w14:paraId="063BFF1F"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18E377A" w14:textId="77777777" w:rsidR="00552553" w:rsidRPr="00244088" w:rsidRDefault="00552553" w:rsidP="00361406">
            <w:pPr>
              <w:rPr>
                <w:rFonts w:ascii="Calibri" w:hAnsi="Calibri"/>
              </w:rPr>
            </w:pPr>
          </w:p>
        </w:tc>
        <w:tc>
          <w:tcPr>
            <w:tcW w:w="992" w:type="dxa"/>
          </w:tcPr>
          <w:p w14:paraId="27F3385C"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4.5.4</w:t>
            </w:r>
          </w:p>
        </w:tc>
        <w:tc>
          <w:tcPr>
            <w:tcW w:w="7807" w:type="dxa"/>
          </w:tcPr>
          <w:p w14:paraId="38C5F09F" w14:textId="678F3470" w:rsidR="00552553" w:rsidRPr="0028499D" w:rsidRDefault="00552553" w:rsidP="006576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Edited</w:t>
            </w:r>
            <w:r w:rsidRPr="007A3D2B">
              <w:rPr>
                <w:rFonts w:ascii="Calibri" w:hAnsi="Calibri"/>
                <w:b/>
                <w:sz w:val="20"/>
                <w:szCs w:val="20"/>
              </w:rPr>
              <w:t xml:space="preserve">: </w:t>
            </w:r>
            <w:r>
              <w:rPr>
                <w:rFonts w:ascii="Calibri" w:hAnsi="Calibri"/>
                <w:sz w:val="20"/>
                <w:szCs w:val="20"/>
              </w:rPr>
              <w:t>Added n</w:t>
            </w:r>
            <w:r w:rsidRPr="0028499D">
              <w:rPr>
                <w:rFonts w:ascii="Calibri" w:hAnsi="Calibri"/>
                <w:sz w:val="20"/>
                <w:szCs w:val="20"/>
              </w:rPr>
              <w:t>ew paragraph and text edits</w:t>
            </w:r>
            <w:r>
              <w:rPr>
                <w:rFonts w:ascii="Calibri" w:hAnsi="Calibri"/>
                <w:sz w:val="20"/>
                <w:szCs w:val="20"/>
              </w:rPr>
              <w:t xml:space="preserve"> –</w:t>
            </w:r>
            <w:r w:rsidRPr="007A3D2B">
              <w:rPr>
                <w:rFonts w:ascii="Calibri" w:hAnsi="Calibri"/>
                <w:b/>
                <w:sz w:val="20"/>
                <w:szCs w:val="20"/>
              </w:rPr>
              <w:t xml:space="preserve"> </w:t>
            </w:r>
            <w:r>
              <w:rPr>
                <w:rFonts w:ascii="Calibri" w:hAnsi="Calibri"/>
                <w:b/>
                <w:sz w:val="20"/>
                <w:szCs w:val="20"/>
              </w:rPr>
              <w:t>‘</w:t>
            </w:r>
            <w:hyperlink w:anchor="_4.5.4__" w:history="1">
              <w:r w:rsidRPr="00EE11A8">
                <w:rPr>
                  <w:rStyle w:val="Hyperlink"/>
                  <w:rFonts w:ascii="Calibri" w:hAnsi="Calibri"/>
                  <w:sz w:val="20"/>
                  <w:szCs w:val="20"/>
                </w:rPr>
                <w:t>Loan caps</w:t>
              </w:r>
            </w:hyperlink>
            <w:r>
              <w:rPr>
                <w:rFonts w:ascii="Calibri" w:hAnsi="Calibri"/>
                <w:b/>
                <w:sz w:val="20"/>
                <w:szCs w:val="20"/>
              </w:rPr>
              <w:t>’</w:t>
            </w:r>
            <w:r w:rsidRPr="0028499D">
              <w:rPr>
                <w:rFonts w:ascii="Calibri" w:hAnsi="Calibri"/>
                <w:sz w:val="20"/>
                <w:szCs w:val="20"/>
              </w:rPr>
              <w:t>;</w:t>
            </w:r>
            <w:r>
              <w:rPr>
                <w:rFonts w:ascii="Calibri" w:hAnsi="Calibri"/>
                <w:b/>
                <w:sz w:val="20"/>
                <w:szCs w:val="20"/>
              </w:rPr>
              <w:t xml:space="preserve"> </w:t>
            </w:r>
            <w:r w:rsidR="000E3EB5" w:rsidRPr="008C449E">
              <w:t>‘Changes</w:t>
            </w:r>
            <w:r w:rsidR="000E3EB5" w:rsidRPr="008C449E">
              <w:rPr>
                <w:b/>
                <w:sz w:val="20"/>
                <w:szCs w:val="20"/>
              </w:rPr>
              <w:t xml:space="preserve"> </w:t>
            </w:r>
            <w:r w:rsidR="000E3EB5" w:rsidRPr="006576E6">
              <w:rPr>
                <w:b/>
                <w:sz w:val="20"/>
                <w:szCs w:val="20"/>
              </w:rPr>
              <w:t>to loan caps over time, including indexation</w:t>
            </w:r>
            <w:r w:rsidR="000E3EB5" w:rsidRPr="008C449E">
              <w:rPr>
                <w:b/>
                <w:sz w:val="20"/>
                <w:szCs w:val="20"/>
              </w:rPr>
              <w:t>’</w:t>
            </w:r>
            <w:r>
              <w:rPr>
                <w:sz w:val="20"/>
                <w:szCs w:val="20"/>
              </w:rPr>
              <w:t xml:space="preserve">; </w:t>
            </w:r>
            <w:r w:rsidR="000E3EB5" w:rsidRPr="008C449E">
              <w:rPr>
                <w:b/>
                <w:sz w:val="20"/>
                <w:szCs w:val="20"/>
              </w:rPr>
              <w:t>‘</w:t>
            </w:r>
            <w:r w:rsidR="000E3EB5" w:rsidRPr="006576E6">
              <w:rPr>
                <w:b/>
                <w:sz w:val="20"/>
                <w:szCs w:val="20"/>
              </w:rPr>
              <w:t>Tracking students’ course cap ‘balance’</w:t>
            </w:r>
            <w:r w:rsidR="00EE11A8">
              <w:rPr>
                <w:sz w:val="20"/>
                <w:szCs w:val="20"/>
              </w:rPr>
              <w:t>’</w:t>
            </w:r>
            <w:r w:rsidRPr="0028499D">
              <w:rPr>
                <w:sz w:val="20"/>
                <w:szCs w:val="20"/>
              </w:rPr>
              <w:t>;</w:t>
            </w:r>
            <w:r>
              <w:rPr>
                <w:b/>
                <w:sz w:val="20"/>
                <w:szCs w:val="20"/>
              </w:rPr>
              <w:t xml:space="preserve"> </w:t>
            </w:r>
            <w:r w:rsidRPr="0028499D">
              <w:rPr>
                <w:sz w:val="20"/>
                <w:szCs w:val="20"/>
              </w:rPr>
              <w:t>and</w:t>
            </w:r>
            <w:r>
              <w:rPr>
                <w:b/>
                <w:sz w:val="20"/>
                <w:szCs w:val="20"/>
              </w:rPr>
              <w:t xml:space="preserve"> </w:t>
            </w:r>
            <w:r w:rsidR="000E3EB5" w:rsidRPr="006576E6">
              <w:rPr>
                <w:b/>
                <w:sz w:val="20"/>
                <w:szCs w:val="20"/>
              </w:rPr>
              <w:t>‘When a student commences with the second provider’</w:t>
            </w:r>
          </w:p>
        </w:tc>
      </w:tr>
      <w:tr w:rsidR="00552553" w:rsidRPr="00244088" w14:paraId="2775CAC6"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46B6EF00" w14:textId="77777777" w:rsidR="00552553" w:rsidRDefault="00552553" w:rsidP="00361406">
            <w:pPr>
              <w:rPr>
                <w:rFonts w:ascii="Calibri" w:hAnsi="Calibri"/>
              </w:rPr>
            </w:pPr>
          </w:p>
        </w:tc>
        <w:tc>
          <w:tcPr>
            <w:tcW w:w="992" w:type="dxa"/>
          </w:tcPr>
          <w:p w14:paraId="72FBA951"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4.5.5</w:t>
            </w:r>
          </w:p>
        </w:tc>
        <w:tc>
          <w:tcPr>
            <w:tcW w:w="7807" w:type="dxa"/>
          </w:tcPr>
          <w:p w14:paraId="3B9B6BDB" w14:textId="77777777"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1C46">
              <w:rPr>
                <w:rFonts w:ascii="Calibri" w:hAnsi="Calibri"/>
                <w:b/>
                <w:sz w:val="20"/>
                <w:szCs w:val="20"/>
              </w:rPr>
              <w:t>Edited</w:t>
            </w:r>
            <w:r>
              <w:rPr>
                <w:rFonts w:ascii="Calibri" w:hAnsi="Calibri"/>
                <w:b/>
                <w:sz w:val="20"/>
                <w:szCs w:val="20"/>
              </w:rPr>
              <w:t>:</w:t>
            </w:r>
            <w:r w:rsidRPr="00A443F2">
              <w:rPr>
                <w:rFonts w:ascii="Calibri" w:hAnsi="Calibri"/>
                <w:sz w:val="20"/>
                <w:szCs w:val="20"/>
              </w:rPr>
              <w:t xml:space="preserve"> for clarity</w:t>
            </w:r>
            <w:r>
              <w:rPr>
                <w:rFonts w:ascii="Calibri" w:hAnsi="Calibri"/>
                <w:sz w:val="20"/>
                <w:szCs w:val="20"/>
              </w:rPr>
              <w:t xml:space="preserve"> – ‘</w:t>
            </w:r>
            <w:hyperlink w:anchor="_4.5.5__" w:history="1">
              <w:r w:rsidRPr="00CA41BC">
                <w:rPr>
                  <w:rStyle w:val="Hyperlink"/>
                  <w:rFonts w:ascii="Calibri" w:hAnsi="Calibri"/>
                  <w:sz w:val="20"/>
                  <w:szCs w:val="20"/>
                </w:rPr>
                <w:t>Gap fees</w:t>
              </w:r>
            </w:hyperlink>
            <w:r w:rsidRPr="007A3D2B">
              <w:rPr>
                <w:rFonts w:ascii="Calibri" w:hAnsi="Calibri"/>
                <w:sz w:val="20"/>
                <w:szCs w:val="20"/>
              </w:rPr>
              <w:t>’</w:t>
            </w:r>
          </w:p>
        </w:tc>
      </w:tr>
      <w:tr w:rsidR="007D171B" w:rsidRPr="00244088" w14:paraId="193D1042"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3EE149E6" w14:textId="77777777" w:rsidR="007D171B" w:rsidRDefault="007D171B" w:rsidP="00361406">
            <w:pPr>
              <w:rPr>
                <w:rFonts w:ascii="Calibri" w:hAnsi="Calibri"/>
              </w:rPr>
            </w:pPr>
          </w:p>
        </w:tc>
        <w:tc>
          <w:tcPr>
            <w:tcW w:w="992" w:type="dxa"/>
          </w:tcPr>
          <w:p w14:paraId="63DCD9C3" w14:textId="7A1FC492" w:rsidR="007D171B" w:rsidRPr="00A443F2" w:rsidRDefault="007D171B"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4.5.6</w:t>
            </w:r>
          </w:p>
        </w:tc>
        <w:tc>
          <w:tcPr>
            <w:tcW w:w="7807" w:type="dxa"/>
          </w:tcPr>
          <w:p w14:paraId="2A9B0C8C" w14:textId="6B962CDD" w:rsidR="007D171B" w:rsidRPr="00A41C46" w:rsidRDefault="007D171B" w:rsidP="0082256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Edited: </w:t>
            </w:r>
            <w:r w:rsidRPr="007D171B">
              <w:rPr>
                <w:rFonts w:ascii="Calibri" w:hAnsi="Calibri"/>
                <w:sz w:val="20"/>
                <w:szCs w:val="20"/>
              </w:rPr>
              <w:t xml:space="preserve">text regarding </w:t>
            </w:r>
            <w:r w:rsidR="0082256A">
              <w:rPr>
                <w:rFonts w:ascii="Calibri" w:hAnsi="Calibri"/>
                <w:sz w:val="20"/>
                <w:szCs w:val="20"/>
              </w:rPr>
              <w:t>‘</w:t>
            </w:r>
            <w:hyperlink w:anchor="_4.5.6__" w:history="1">
              <w:r w:rsidR="0082256A" w:rsidRPr="0082256A">
                <w:rPr>
                  <w:rStyle w:val="Hyperlink"/>
                  <w:rFonts w:ascii="Calibri" w:hAnsi="Calibri"/>
                  <w:sz w:val="20"/>
                  <w:szCs w:val="20"/>
                </w:rPr>
                <w:t>Managing student access with changes to the determination</w:t>
              </w:r>
            </w:hyperlink>
            <w:r w:rsidR="0082256A">
              <w:rPr>
                <w:rFonts w:ascii="Calibri" w:hAnsi="Calibri"/>
                <w:sz w:val="20"/>
                <w:szCs w:val="20"/>
              </w:rPr>
              <w:t>’</w:t>
            </w:r>
            <w:r w:rsidRPr="007D171B">
              <w:rPr>
                <w:rFonts w:ascii="Calibri" w:hAnsi="Calibri"/>
                <w:sz w:val="20"/>
                <w:szCs w:val="20"/>
              </w:rPr>
              <w:t xml:space="preserve"> and</w:t>
            </w:r>
            <w:r>
              <w:rPr>
                <w:rFonts w:ascii="Calibri" w:hAnsi="Calibri"/>
                <w:b/>
                <w:sz w:val="20"/>
                <w:szCs w:val="20"/>
              </w:rPr>
              <w:t xml:space="preserve"> Added </w:t>
            </w:r>
            <w:r w:rsidRPr="007D171B">
              <w:rPr>
                <w:rFonts w:ascii="Calibri" w:hAnsi="Calibri"/>
                <w:sz w:val="20"/>
                <w:szCs w:val="20"/>
              </w:rPr>
              <w:t>text regarding indexation to loan caps.</w:t>
            </w:r>
          </w:p>
        </w:tc>
      </w:tr>
      <w:tr w:rsidR="00552553" w:rsidRPr="00244088" w14:paraId="13178CA0"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CF0E3A5" w14:textId="77777777" w:rsidR="00552553" w:rsidRDefault="00552553" w:rsidP="00361406">
            <w:pPr>
              <w:rPr>
                <w:rFonts w:ascii="Calibri" w:hAnsi="Calibri"/>
              </w:rPr>
            </w:pPr>
          </w:p>
        </w:tc>
        <w:tc>
          <w:tcPr>
            <w:tcW w:w="992" w:type="dxa"/>
          </w:tcPr>
          <w:p w14:paraId="705A2959"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4.5.7</w:t>
            </w:r>
          </w:p>
        </w:tc>
        <w:tc>
          <w:tcPr>
            <w:tcW w:w="7807" w:type="dxa"/>
          </w:tcPr>
          <w:p w14:paraId="4DF137A3" w14:textId="77777777" w:rsidR="00552553" w:rsidRPr="00A41C46"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Deleted: </w:t>
            </w:r>
            <w:r w:rsidRPr="0028499D">
              <w:rPr>
                <w:rFonts w:ascii="Calibri" w:hAnsi="Calibri"/>
                <w:sz w:val="20"/>
                <w:szCs w:val="20"/>
              </w:rPr>
              <w:t>duplicate paragraph</w:t>
            </w:r>
            <w:r>
              <w:rPr>
                <w:rFonts w:ascii="Calibri" w:hAnsi="Calibri"/>
                <w:b/>
                <w:sz w:val="20"/>
                <w:szCs w:val="20"/>
              </w:rPr>
              <w:t xml:space="preserve"> ‘</w:t>
            </w:r>
            <w:r w:rsidRPr="0028499D">
              <w:rPr>
                <w:rStyle w:val="Hyperlink"/>
                <w:rFonts w:ascii="Calibri" w:hAnsi="Calibri"/>
                <w:sz w:val="20"/>
              </w:rPr>
              <w:t>Superseded courses</w:t>
            </w:r>
            <w:r>
              <w:rPr>
                <w:rFonts w:ascii="Calibri" w:hAnsi="Calibri"/>
                <w:b/>
                <w:sz w:val="20"/>
                <w:szCs w:val="20"/>
              </w:rPr>
              <w:t xml:space="preserve">’ </w:t>
            </w:r>
            <w:r w:rsidRPr="0028499D">
              <w:rPr>
                <w:rFonts w:ascii="Calibri" w:hAnsi="Calibri"/>
                <w:sz w:val="20"/>
                <w:szCs w:val="20"/>
              </w:rPr>
              <w:t>deleted – refer text at paragraph 4.5.3</w:t>
            </w:r>
          </w:p>
        </w:tc>
      </w:tr>
      <w:tr w:rsidR="00552553" w:rsidRPr="00244088" w14:paraId="7E9C1BA5"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097A9990" w14:textId="77777777" w:rsidR="00552553" w:rsidRDefault="00552553" w:rsidP="00361406">
            <w:pPr>
              <w:rPr>
                <w:rFonts w:ascii="Calibri" w:hAnsi="Calibri"/>
              </w:rPr>
            </w:pPr>
          </w:p>
        </w:tc>
        <w:tc>
          <w:tcPr>
            <w:tcW w:w="992" w:type="dxa"/>
          </w:tcPr>
          <w:p w14:paraId="3F61EF12"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4.6.3</w:t>
            </w:r>
          </w:p>
        </w:tc>
        <w:tc>
          <w:tcPr>
            <w:tcW w:w="7807" w:type="dxa"/>
          </w:tcPr>
          <w:p w14:paraId="2B1D6380" w14:textId="73735764"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hyperlink w:anchor="_4.6.3__" w:history="1">
              <w:r w:rsidRPr="00CA41BC">
                <w:rPr>
                  <w:rStyle w:val="Hyperlink"/>
                  <w:rFonts w:ascii="Calibri" w:hAnsi="Calibri"/>
                  <w:sz w:val="20"/>
                  <w:szCs w:val="20"/>
                </w:rPr>
                <w:t>third party arrangement diagram</w:t>
              </w:r>
            </w:hyperlink>
            <w:r>
              <w:rPr>
                <w:rFonts w:ascii="Calibri" w:hAnsi="Calibri"/>
                <w:sz w:val="20"/>
                <w:szCs w:val="20"/>
              </w:rPr>
              <w:t xml:space="preserve"> and text edits for clarity</w:t>
            </w:r>
          </w:p>
        </w:tc>
      </w:tr>
      <w:tr w:rsidR="00552553" w:rsidRPr="00244088" w14:paraId="741057FF"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45DD792F" w14:textId="77777777" w:rsidR="00552553" w:rsidRDefault="00552553" w:rsidP="00361406">
            <w:pPr>
              <w:rPr>
                <w:rFonts w:ascii="Calibri" w:hAnsi="Calibri"/>
              </w:rPr>
            </w:pPr>
          </w:p>
        </w:tc>
        <w:tc>
          <w:tcPr>
            <w:tcW w:w="992" w:type="dxa"/>
          </w:tcPr>
          <w:p w14:paraId="5C7EDDCF" w14:textId="77777777"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4.7.</w:t>
            </w:r>
            <w:r>
              <w:rPr>
                <w:rFonts w:ascii="Calibri" w:hAnsi="Calibri"/>
                <w:sz w:val="20"/>
                <w:szCs w:val="20"/>
              </w:rPr>
              <w:t>1</w:t>
            </w:r>
          </w:p>
        </w:tc>
        <w:tc>
          <w:tcPr>
            <w:tcW w:w="7807" w:type="dxa"/>
          </w:tcPr>
          <w:p w14:paraId="0A1030F5" w14:textId="4BA288EB" w:rsidR="00552553"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1C46">
              <w:rPr>
                <w:rFonts w:ascii="Calibri" w:hAnsi="Calibri"/>
                <w:b/>
                <w:sz w:val="20"/>
                <w:szCs w:val="20"/>
              </w:rPr>
              <w:t>Edited</w:t>
            </w:r>
            <w:r>
              <w:rPr>
                <w:rFonts w:ascii="Calibri" w:hAnsi="Calibri"/>
                <w:b/>
                <w:sz w:val="20"/>
                <w:szCs w:val="20"/>
              </w:rPr>
              <w:t>:</w:t>
            </w:r>
            <w:r w:rsidRPr="00A443F2">
              <w:rPr>
                <w:rFonts w:ascii="Calibri" w:hAnsi="Calibri"/>
                <w:sz w:val="20"/>
                <w:szCs w:val="20"/>
              </w:rPr>
              <w:t xml:space="preserve"> for clarity</w:t>
            </w:r>
            <w:r>
              <w:rPr>
                <w:rFonts w:ascii="Calibri" w:hAnsi="Calibri"/>
                <w:sz w:val="20"/>
                <w:szCs w:val="20"/>
              </w:rPr>
              <w:t xml:space="preserve"> – ‘</w:t>
            </w:r>
            <w:hyperlink w:anchor="_4.7.1__" w:history="1">
              <w:r w:rsidRPr="00CA41BC">
                <w:rPr>
                  <w:rStyle w:val="Hyperlink"/>
                  <w:rFonts w:ascii="Calibri" w:hAnsi="Calibri"/>
                  <w:sz w:val="20"/>
                  <w:szCs w:val="20"/>
                </w:rPr>
                <w:t>Student eligibility</w:t>
              </w:r>
            </w:hyperlink>
            <w:r>
              <w:rPr>
                <w:rFonts w:ascii="Calibri" w:hAnsi="Calibri"/>
                <w:sz w:val="20"/>
                <w:szCs w:val="20"/>
              </w:rPr>
              <w:t>’; ‘</w:t>
            </w:r>
            <w:r w:rsidRPr="0028499D">
              <w:rPr>
                <w:rFonts w:ascii="Calibri" w:hAnsi="Calibri"/>
                <w:b/>
                <w:sz w:val="20"/>
                <w:szCs w:val="20"/>
              </w:rPr>
              <w:t>Determining citizenship and visa s</w:t>
            </w:r>
            <w:r>
              <w:rPr>
                <w:rFonts w:ascii="Calibri" w:hAnsi="Calibri"/>
                <w:b/>
                <w:sz w:val="20"/>
                <w:szCs w:val="20"/>
              </w:rPr>
              <w:t>t</w:t>
            </w:r>
            <w:r w:rsidRPr="0028499D">
              <w:rPr>
                <w:rFonts w:ascii="Calibri" w:hAnsi="Calibri"/>
                <w:b/>
                <w:sz w:val="20"/>
                <w:szCs w:val="20"/>
              </w:rPr>
              <w:t>atus</w:t>
            </w:r>
            <w:r>
              <w:rPr>
                <w:rFonts w:ascii="Calibri" w:hAnsi="Calibri"/>
                <w:b/>
                <w:sz w:val="20"/>
                <w:szCs w:val="20"/>
              </w:rPr>
              <w:t>’</w:t>
            </w:r>
            <w:r>
              <w:rPr>
                <w:rFonts w:ascii="Calibri" w:hAnsi="Calibri"/>
                <w:sz w:val="20"/>
                <w:szCs w:val="20"/>
              </w:rPr>
              <w:t>; ‘</w:t>
            </w:r>
            <w:r>
              <w:rPr>
                <w:rFonts w:ascii="Calibri" w:hAnsi="Calibri"/>
                <w:b/>
                <w:sz w:val="20"/>
                <w:szCs w:val="20"/>
              </w:rPr>
              <w:t>W</w:t>
            </w:r>
            <w:r w:rsidRPr="0028499D">
              <w:rPr>
                <w:rFonts w:ascii="Calibri" w:hAnsi="Calibri"/>
                <w:b/>
                <w:sz w:val="20"/>
                <w:szCs w:val="20"/>
              </w:rPr>
              <w:t>here tuition fee</w:t>
            </w:r>
            <w:r>
              <w:rPr>
                <w:rFonts w:ascii="Calibri" w:hAnsi="Calibri"/>
                <w:b/>
                <w:sz w:val="20"/>
                <w:szCs w:val="20"/>
              </w:rPr>
              <w:t>s</w:t>
            </w:r>
            <w:r w:rsidRPr="0028499D">
              <w:rPr>
                <w:rFonts w:ascii="Calibri" w:hAnsi="Calibri"/>
                <w:b/>
                <w:sz w:val="20"/>
                <w:szCs w:val="20"/>
              </w:rPr>
              <w:t xml:space="preserve"> exceed FEE-HELP balance remaining</w:t>
            </w:r>
            <w:r>
              <w:rPr>
                <w:rFonts w:ascii="Calibri" w:hAnsi="Calibri"/>
                <w:b/>
                <w:sz w:val="20"/>
                <w:szCs w:val="20"/>
              </w:rPr>
              <w:t>’</w:t>
            </w:r>
          </w:p>
          <w:p w14:paraId="2A32E9EB" w14:textId="7E1F7E5F" w:rsidR="00552553"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275A1">
              <w:rPr>
                <w:rFonts w:ascii="Calibri" w:hAnsi="Calibri"/>
                <w:b/>
                <w:sz w:val="20"/>
                <w:szCs w:val="20"/>
              </w:rPr>
              <w:t>Added:</w:t>
            </w:r>
            <w:r>
              <w:rPr>
                <w:rFonts w:ascii="Calibri" w:hAnsi="Calibri"/>
                <w:sz w:val="20"/>
                <w:szCs w:val="20"/>
              </w:rPr>
              <w:t xml:space="preserve"> </w:t>
            </w:r>
            <w:hyperlink w:anchor="_FEE-HELP_limit" w:history="1">
              <w:r w:rsidRPr="00CA41BC">
                <w:rPr>
                  <w:rStyle w:val="Hyperlink"/>
                  <w:rFonts w:ascii="Calibri" w:hAnsi="Calibri"/>
                  <w:sz w:val="20"/>
                  <w:szCs w:val="20"/>
                </w:rPr>
                <w:t>FEE-HELP limit diagram</w:t>
              </w:r>
            </w:hyperlink>
          </w:p>
          <w:p w14:paraId="7E4497B6" w14:textId="563F9FDB" w:rsidR="00552553" w:rsidRPr="00A443F2"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275A1">
              <w:rPr>
                <w:rFonts w:ascii="Calibri" w:hAnsi="Calibri"/>
                <w:b/>
                <w:sz w:val="20"/>
                <w:szCs w:val="20"/>
              </w:rPr>
              <w:t>Added:</w:t>
            </w:r>
            <w:r>
              <w:rPr>
                <w:rFonts w:ascii="Calibri" w:hAnsi="Calibri"/>
                <w:sz w:val="20"/>
                <w:szCs w:val="20"/>
              </w:rPr>
              <w:t xml:space="preserve"> </w:t>
            </w:r>
            <w:hyperlink w:anchor="_FEE-HELP_balance_1" w:history="1">
              <w:r w:rsidRPr="00CA41BC">
                <w:rPr>
                  <w:rStyle w:val="Hyperlink"/>
                  <w:rFonts w:ascii="Calibri" w:hAnsi="Calibri"/>
                  <w:sz w:val="20"/>
                  <w:szCs w:val="20"/>
                </w:rPr>
                <w:t>FEE-HELP balance diagram</w:t>
              </w:r>
            </w:hyperlink>
          </w:p>
        </w:tc>
      </w:tr>
      <w:tr w:rsidR="007D171B" w:rsidRPr="00244088" w14:paraId="1A1A2254"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C358903" w14:textId="77777777" w:rsidR="007D171B" w:rsidRDefault="007D171B" w:rsidP="00361406">
            <w:pPr>
              <w:rPr>
                <w:rFonts w:ascii="Calibri" w:hAnsi="Calibri"/>
              </w:rPr>
            </w:pPr>
          </w:p>
        </w:tc>
        <w:tc>
          <w:tcPr>
            <w:tcW w:w="992" w:type="dxa"/>
          </w:tcPr>
          <w:p w14:paraId="5CD6214A" w14:textId="51E51FD5" w:rsidR="007D171B" w:rsidRPr="00A443F2" w:rsidRDefault="007D171B"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4.7.3</w:t>
            </w:r>
          </w:p>
        </w:tc>
        <w:tc>
          <w:tcPr>
            <w:tcW w:w="7807" w:type="dxa"/>
          </w:tcPr>
          <w:p w14:paraId="1DC7EEA0" w14:textId="1F25F119" w:rsidR="007D171B" w:rsidRPr="00A41C46" w:rsidRDefault="007D171B"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Edited </w:t>
            </w:r>
            <w:r w:rsidRPr="007D171B">
              <w:rPr>
                <w:rFonts w:ascii="Calibri" w:hAnsi="Calibri"/>
                <w:sz w:val="20"/>
                <w:szCs w:val="20"/>
              </w:rPr>
              <w:t>text regar</w:t>
            </w:r>
            <w:r w:rsidR="001469B3">
              <w:rPr>
                <w:rFonts w:ascii="Calibri" w:hAnsi="Calibri"/>
                <w:sz w:val="20"/>
                <w:szCs w:val="20"/>
              </w:rPr>
              <w:t>ding completion of progressions</w:t>
            </w:r>
          </w:p>
        </w:tc>
      </w:tr>
      <w:tr w:rsidR="00552553" w:rsidRPr="00244088" w14:paraId="73EBCBD7"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320CCD7F" w14:textId="77777777" w:rsidR="00552553" w:rsidRDefault="00552553" w:rsidP="00361406">
            <w:pPr>
              <w:rPr>
                <w:rFonts w:ascii="Calibri" w:hAnsi="Calibri"/>
              </w:rPr>
            </w:pPr>
          </w:p>
        </w:tc>
        <w:tc>
          <w:tcPr>
            <w:tcW w:w="992" w:type="dxa"/>
          </w:tcPr>
          <w:p w14:paraId="0E54C12C" w14:textId="77777777" w:rsidR="000E3EB5"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4.8 </w:t>
            </w:r>
          </w:p>
          <w:p w14:paraId="30343E5B" w14:textId="5E30B9CC"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4.8.1 4.8.2</w:t>
            </w:r>
          </w:p>
        </w:tc>
        <w:tc>
          <w:tcPr>
            <w:tcW w:w="7807" w:type="dxa"/>
          </w:tcPr>
          <w:p w14:paraId="5F48EBE5" w14:textId="34F67FA3" w:rsidR="00552553" w:rsidRPr="0028499D" w:rsidRDefault="00552553" w:rsidP="003C51F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76B79">
              <w:rPr>
                <w:rFonts w:ascii="Calibri" w:hAnsi="Calibri"/>
                <w:b/>
                <w:sz w:val="20"/>
                <w:szCs w:val="20"/>
              </w:rPr>
              <w:t>Added:</w:t>
            </w:r>
            <w:r w:rsidR="00CD3CE6">
              <w:rPr>
                <w:rFonts w:ascii="Calibri" w:hAnsi="Calibri"/>
                <w:b/>
                <w:sz w:val="20"/>
                <w:szCs w:val="20"/>
              </w:rPr>
              <w:t xml:space="preserve"> </w:t>
            </w:r>
            <w:r w:rsidRPr="0028499D">
              <w:rPr>
                <w:rFonts w:ascii="Calibri" w:hAnsi="Calibri"/>
                <w:sz w:val="20"/>
                <w:szCs w:val="20"/>
              </w:rPr>
              <w:t>Text to</w:t>
            </w:r>
            <w:r>
              <w:rPr>
                <w:rFonts w:ascii="Calibri" w:hAnsi="Calibri"/>
                <w:b/>
                <w:sz w:val="20"/>
                <w:szCs w:val="20"/>
              </w:rPr>
              <w:t xml:space="preserve"> ‘</w:t>
            </w:r>
            <w:hyperlink w:anchor="_Toc473016838" w:history="1">
              <w:r w:rsidRPr="000E3EB5">
                <w:rPr>
                  <w:rStyle w:val="Hyperlink"/>
                  <w:rFonts w:ascii="Calibri" w:hAnsi="Calibri"/>
                  <w:sz w:val="20"/>
                  <w:szCs w:val="20"/>
                </w:rPr>
                <w:t>Processes and Procedures</w:t>
              </w:r>
            </w:hyperlink>
            <w:r>
              <w:rPr>
                <w:rFonts w:ascii="Calibri" w:hAnsi="Calibri"/>
                <w:b/>
                <w:sz w:val="20"/>
                <w:szCs w:val="20"/>
              </w:rPr>
              <w:t xml:space="preserve">’ </w:t>
            </w:r>
            <w:r w:rsidRPr="003C51F7">
              <w:rPr>
                <w:rFonts w:ascii="Calibri" w:hAnsi="Calibri"/>
                <w:b/>
                <w:sz w:val="20"/>
                <w:szCs w:val="20"/>
              </w:rPr>
              <w:t xml:space="preserve">– </w:t>
            </w:r>
            <w:r w:rsidRPr="003C51F7">
              <w:rPr>
                <w:rFonts w:ascii="Calibri" w:hAnsi="Calibri"/>
                <w:sz w:val="20"/>
                <w:szCs w:val="20"/>
              </w:rPr>
              <w:t xml:space="preserve">clarification around the </w:t>
            </w:r>
            <w:r w:rsidR="000E3EB5" w:rsidRPr="00A5748D">
              <w:t>application of the requirements</w:t>
            </w:r>
            <w:r w:rsidRPr="003C51F7">
              <w:rPr>
                <w:rFonts w:ascii="Calibri" w:hAnsi="Calibri"/>
                <w:b/>
                <w:sz w:val="20"/>
                <w:szCs w:val="20"/>
              </w:rPr>
              <w:t xml:space="preserve"> to all students</w:t>
            </w:r>
            <w:r w:rsidRPr="003C51F7">
              <w:rPr>
                <w:rFonts w:ascii="Calibri" w:hAnsi="Calibri"/>
                <w:sz w:val="20"/>
                <w:szCs w:val="20"/>
              </w:rPr>
              <w:t xml:space="preserve"> enrolled in approved courses whether or not they request a loan, </w:t>
            </w:r>
            <w:r w:rsidR="003C51F7" w:rsidRPr="003C51F7">
              <w:rPr>
                <w:rFonts w:ascii="Calibri" w:hAnsi="Calibri"/>
                <w:b/>
                <w:sz w:val="20"/>
                <w:szCs w:val="20"/>
              </w:rPr>
              <w:t>added</w:t>
            </w:r>
            <w:r w:rsidR="003C51F7">
              <w:rPr>
                <w:rFonts w:ascii="Calibri" w:hAnsi="Calibri"/>
                <w:sz w:val="20"/>
                <w:szCs w:val="20"/>
              </w:rPr>
              <w:t xml:space="preserve"> separate section for publishing requirements of processes and procedures, and minor </w:t>
            </w:r>
            <w:r w:rsidR="003C51F7" w:rsidRPr="003C51F7">
              <w:rPr>
                <w:rFonts w:ascii="Calibri" w:hAnsi="Calibri"/>
                <w:sz w:val="20"/>
                <w:szCs w:val="20"/>
              </w:rPr>
              <w:t>text/heading edits</w:t>
            </w:r>
          </w:p>
        </w:tc>
      </w:tr>
      <w:tr w:rsidR="00552553" w:rsidRPr="00244088" w14:paraId="5F50334E"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37F7F044" w14:textId="77777777" w:rsidR="00552553" w:rsidRDefault="00552553" w:rsidP="00361406">
            <w:pPr>
              <w:rPr>
                <w:rFonts w:ascii="Calibri" w:hAnsi="Calibri"/>
              </w:rPr>
            </w:pPr>
          </w:p>
        </w:tc>
        <w:tc>
          <w:tcPr>
            <w:tcW w:w="992" w:type="dxa"/>
          </w:tcPr>
          <w:p w14:paraId="3DC92F9A" w14:textId="21F2A07C"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4.8.</w:t>
            </w:r>
            <w:r>
              <w:rPr>
                <w:rFonts w:ascii="Calibri" w:hAnsi="Calibri"/>
                <w:sz w:val="20"/>
                <w:szCs w:val="20"/>
              </w:rPr>
              <w:t>3</w:t>
            </w:r>
          </w:p>
        </w:tc>
        <w:tc>
          <w:tcPr>
            <w:tcW w:w="7807" w:type="dxa"/>
          </w:tcPr>
          <w:p w14:paraId="6A340B0C" w14:textId="3F19B8FE" w:rsidR="00552553" w:rsidRPr="00740514"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b/>
                <w:sz w:val="20"/>
                <w:szCs w:val="20"/>
              </w:rPr>
              <w:t>Added:</w:t>
            </w:r>
            <w:r w:rsidRPr="00A443F2">
              <w:rPr>
                <w:rFonts w:ascii="Calibri" w:hAnsi="Calibri"/>
                <w:sz w:val="20"/>
                <w:szCs w:val="20"/>
              </w:rPr>
              <w:t xml:space="preserve"> </w:t>
            </w:r>
            <w:r>
              <w:rPr>
                <w:rFonts w:ascii="Calibri" w:hAnsi="Calibri"/>
                <w:sz w:val="20"/>
                <w:szCs w:val="20"/>
              </w:rPr>
              <w:t>‘</w:t>
            </w:r>
            <w:hyperlink w:anchor="_Important_clarification_regarding" w:history="1">
              <w:r w:rsidRPr="00CA41BC">
                <w:rPr>
                  <w:rStyle w:val="Hyperlink"/>
                  <w:rFonts w:ascii="Calibri" w:hAnsi="Calibri"/>
                  <w:sz w:val="20"/>
                  <w:szCs w:val="20"/>
                </w:rPr>
                <w:t>Important clarification regarding qualifications issued prior to 1995</w:t>
              </w:r>
            </w:hyperlink>
            <w:r>
              <w:rPr>
                <w:rFonts w:ascii="Calibri" w:hAnsi="Calibri"/>
                <w:sz w:val="20"/>
                <w:szCs w:val="20"/>
              </w:rPr>
              <w:t>’ to ‘</w:t>
            </w:r>
            <w:hyperlink w:anchor="_4.8.3__" w:history="1">
              <w:r w:rsidRPr="006576E6">
                <w:rPr>
                  <w:rStyle w:val="Hyperlink"/>
                  <w:rFonts w:ascii="Calibri" w:hAnsi="Calibri"/>
                  <w:sz w:val="20"/>
                  <w:szCs w:val="20"/>
                </w:rPr>
                <w:t>Processes and procedures relating to student entry</w:t>
              </w:r>
            </w:hyperlink>
            <w:r>
              <w:rPr>
                <w:rFonts w:ascii="Calibri" w:hAnsi="Calibri"/>
                <w:sz w:val="20"/>
                <w:szCs w:val="20"/>
              </w:rPr>
              <w:t>’</w:t>
            </w:r>
          </w:p>
        </w:tc>
      </w:tr>
      <w:tr w:rsidR="00552553" w:rsidRPr="00244088" w14:paraId="7AFD7BF3"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22CD135A" w14:textId="77777777" w:rsidR="00552553" w:rsidRDefault="00552553" w:rsidP="00361406">
            <w:pPr>
              <w:rPr>
                <w:rFonts w:ascii="Calibri" w:hAnsi="Calibri"/>
              </w:rPr>
            </w:pPr>
          </w:p>
        </w:tc>
        <w:tc>
          <w:tcPr>
            <w:tcW w:w="992" w:type="dxa"/>
          </w:tcPr>
          <w:p w14:paraId="306C1945" w14:textId="7E252DD0" w:rsidR="00552553" w:rsidRPr="00A443F2"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4.8.5</w:t>
            </w:r>
          </w:p>
        </w:tc>
        <w:tc>
          <w:tcPr>
            <w:tcW w:w="7807" w:type="dxa"/>
          </w:tcPr>
          <w:p w14:paraId="3E124109" w14:textId="654E6826" w:rsidR="00552553" w:rsidRPr="00DB24D7"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r w:rsidRPr="008205CD">
              <w:rPr>
                <w:rFonts w:ascii="Calibri" w:hAnsi="Calibri"/>
                <w:sz w:val="20"/>
                <w:szCs w:val="20"/>
              </w:rPr>
              <w:t xml:space="preserve">more information about </w:t>
            </w:r>
            <w:hyperlink w:anchor="_Paper_CAFs" w:history="1">
              <w:r w:rsidRPr="00CA41BC">
                <w:rPr>
                  <w:rStyle w:val="Hyperlink"/>
                  <w:rFonts w:ascii="Calibri" w:hAnsi="Calibri"/>
                  <w:sz w:val="20"/>
                  <w:szCs w:val="20"/>
                </w:rPr>
                <w:t>using paper CAFs</w:t>
              </w:r>
            </w:hyperlink>
            <w:r>
              <w:rPr>
                <w:rFonts w:ascii="Calibri" w:hAnsi="Calibri"/>
                <w:sz w:val="20"/>
                <w:szCs w:val="20"/>
              </w:rPr>
              <w:t xml:space="preserve"> and text edits to ‘</w:t>
            </w:r>
            <w:hyperlink w:anchor="_4.8.5__" w:history="1">
              <w:r w:rsidRPr="006576E6">
                <w:rPr>
                  <w:rStyle w:val="Hyperlink"/>
                  <w:rFonts w:ascii="Calibri" w:hAnsi="Calibri"/>
                  <w:sz w:val="20"/>
                  <w:szCs w:val="20"/>
                </w:rPr>
                <w:t>Processes and procedures relating to loan applications</w:t>
              </w:r>
            </w:hyperlink>
            <w:r>
              <w:rPr>
                <w:rFonts w:ascii="Calibri" w:hAnsi="Calibri"/>
                <w:sz w:val="20"/>
                <w:szCs w:val="20"/>
              </w:rPr>
              <w:t>’</w:t>
            </w:r>
          </w:p>
        </w:tc>
      </w:tr>
      <w:tr w:rsidR="00552553" w:rsidRPr="00244088" w14:paraId="238EACFD"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27EB11BE" w14:textId="77777777" w:rsidR="00552553" w:rsidRDefault="00552553" w:rsidP="00361406">
            <w:pPr>
              <w:rPr>
                <w:rFonts w:ascii="Calibri" w:hAnsi="Calibri"/>
              </w:rPr>
            </w:pPr>
          </w:p>
        </w:tc>
        <w:tc>
          <w:tcPr>
            <w:tcW w:w="992" w:type="dxa"/>
          </w:tcPr>
          <w:p w14:paraId="00147A3F" w14:textId="1EF3D5A7" w:rsidR="00552553"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4.8.6</w:t>
            </w:r>
          </w:p>
        </w:tc>
        <w:tc>
          <w:tcPr>
            <w:tcW w:w="7807" w:type="dxa"/>
          </w:tcPr>
          <w:p w14:paraId="2CA27CA8" w14:textId="3463122D" w:rsidR="00552553" w:rsidRPr="0028499D"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b/>
                <w:sz w:val="20"/>
                <w:szCs w:val="20"/>
              </w:rPr>
              <w:t xml:space="preserve">Added: </w:t>
            </w:r>
            <w:r w:rsidR="00BD04DA">
              <w:rPr>
                <w:rFonts w:ascii="Calibri" w:hAnsi="Calibri"/>
                <w:b/>
                <w:sz w:val="20"/>
                <w:szCs w:val="20"/>
              </w:rPr>
              <w:t xml:space="preserve">NEW SECTION </w:t>
            </w:r>
            <w:r w:rsidR="00BD04DA" w:rsidRPr="00A41C46">
              <w:rPr>
                <w:rFonts w:ascii="Calibri" w:hAnsi="Calibri"/>
                <w:sz w:val="20"/>
                <w:szCs w:val="20"/>
              </w:rPr>
              <w:t>–</w:t>
            </w:r>
            <w:r w:rsidR="00BD04DA">
              <w:rPr>
                <w:rFonts w:ascii="Calibri" w:hAnsi="Calibri"/>
                <w:b/>
                <w:sz w:val="20"/>
                <w:szCs w:val="20"/>
              </w:rPr>
              <w:t xml:space="preserve"> </w:t>
            </w:r>
            <w:r>
              <w:rPr>
                <w:rFonts w:ascii="Calibri" w:hAnsi="Calibri"/>
                <w:b/>
                <w:sz w:val="20"/>
                <w:szCs w:val="20"/>
              </w:rPr>
              <w:t>‘</w:t>
            </w:r>
            <w:hyperlink w:anchor="_New_procedure_for" w:history="1">
              <w:r w:rsidRPr="0081721A">
                <w:rPr>
                  <w:rStyle w:val="Hyperlink"/>
                  <w:rFonts w:ascii="Calibri" w:hAnsi="Calibri"/>
                  <w:sz w:val="20"/>
                  <w:szCs w:val="20"/>
                </w:rPr>
                <w:t>New procedure for verifying TFNs’</w:t>
              </w:r>
            </w:hyperlink>
            <w:r>
              <w:rPr>
                <w:rFonts w:ascii="Calibri" w:hAnsi="Calibri"/>
                <w:b/>
                <w:sz w:val="20"/>
                <w:szCs w:val="20"/>
              </w:rPr>
              <w:t xml:space="preserve"> </w:t>
            </w:r>
            <w:r>
              <w:rPr>
                <w:rFonts w:ascii="Calibri" w:hAnsi="Calibri"/>
                <w:sz w:val="20"/>
                <w:szCs w:val="20"/>
              </w:rPr>
              <w:t>and edits to ‘</w:t>
            </w:r>
            <w:hyperlink w:anchor="_Provision_of_TFN" w:history="1">
              <w:r w:rsidRPr="0081721A">
                <w:rPr>
                  <w:rStyle w:val="Hyperlink"/>
                  <w:rFonts w:ascii="Calibri" w:hAnsi="Calibri"/>
                  <w:sz w:val="20"/>
                  <w:szCs w:val="20"/>
                </w:rPr>
                <w:t>Provision of TFN by students</w:t>
              </w:r>
            </w:hyperlink>
            <w:r>
              <w:rPr>
                <w:rFonts w:ascii="Calibri" w:hAnsi="Calibri"/>
                <w:sz w:val="20"/>
                <w:szCs w:val="20"/>
              </w:rPr>
              <w:t>’</w:t>
            </w:r>
          </w:p>
        </w:tc>
      </w:tr>
      <w:tr w:rsidR="00552553" w:rsidRPr="00244088" w14:paraId="2BB2E313"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55E4B4E3" w14:textId="77777777" w:rsidR="00552553" w:rsidRDefault="00552553" w:rsidP="00361406">
            <w:pPr>
              <w:rPr>
                <w:rFonts w:ascii="Calibri" w:hAnsi="Calibri"/>
              </w:rPr>
            </w:pPr>
          </w:p>
        </w:tc>
        <w:tc>
          <w:tcPr>
            <w:tcW w:w="992" w:type="dxa"/>
          </w:tcPr>
          <w:p w14:paraId="41FC4AC5" w14:textId="04F6EE9A" w:rsidR="00552553" w:rsidRDefault="00552553" w:rsidP="00C901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4.8.9</w:t>
            </w:r>
          </w:p>
        </w:tc>
        <w:tc>
          <w:tcPr>
            <w:tcW w:w="7807" w:type="dxa"/>
          </w:tcPr>
          <w:p w14:paraId="06CD4D66" w14:textId="5FF54136" w:rsidR="00552553" w:rsidRPr="0028499D" w:rsidRDefault="00552553" w:rsidP="00CD3CE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b/>
                <w:sz w:val="20"/>
                <w:szCs w:val="20"/>
              </w:rPr>
              <w:t xml:space="preserve">Added: </w:t>
            </w:r>
            <w:r w:rsidR="005B091C" w:rsidRPr="008C449E">
              <w:rPr>
                <w:rFonts w:ascii="Calibri" w:hAnsi="Calibri"/>
                <w:b/>
                <w:sz w:val="20"/>
                <w:szCs w:val="20"/>
              </w:rPr>
              <w:t>NEW SECTION</w:t>
            </w:r>
            <w:r>
              <w:rPr>
                <w:rFonts w:ascii="Calibri" w:hAnsi="Calibri"/>
                <w:sz w:val="20"/>
                <w:szCs w:val="20"/>
              </w:rPr>
              <w:t xml:space="preserve"> </w:t>
            </w:r>
            <w:r w:rsidR="005B091C" w:rsidRPr="00A41C46">
              <w:rPr>
                <w:rFonts w:ascii="Calibri" w:hAnsi="Calibri"/>
                <w:sz w:val="20"/>
                <w:szCs w:val="20"/>
              </w:rPr>
              <w:t>–</w:t>
            </w:r>
            <w:r w:rsidR="005B091C" w:rsidRPr="0028499D">
              <w:rPr>
                <w:rFonts w:ascii="Calibri" w:hAnsi="Calibri"/>
                <w:b/>
                <w:sz w:val="20"/>
                <w:szCs w:val="20"/>
              </w:rPr>
              <w:t xml:space="preserve"> </w:t>
            </w:r>
            <w:r w:rsidRPr="0028499D">
              <w:rPr>
                <w:rFonts w:ascii="Calibri" w:hAnsi="Calibri"/>
                <w:b/>
                <w:sz w:val="20"/>
                <w:szCs w:val="20"/>
              </w:rPr>
              <w:t>‘</w:t>
            </w:r>
            <w:hyperlink w:anchor="_Providers’_obligations" w:history="1">
              <w:r w:rsidRPr="00287AB4">
                <w:rPr>
                  <w:rStyle w:val="Hyperlink"/>
                  <w:rFonts w:ascii="Calibri" w:hAnsi="Calibri"/>
                  <w:sz w:val="20"/>
                  <w:szCs w:val="20"/>
                </w:rPr>
                <w:t>Providers’ obligations</w:t>
              </w:r>
            </w:hyperlink>
            <w:r w:rsidRPr="0028499D">
              <w:rPr>
                <w:rFonts w:ascii="Calibri" w:hAnsi="Calibri"/>
                <w:b/>
                <w:sz w:val="20"/>
                <w:szCs w:val="20"/>
              </w:rPr>
              <w:t>’</w:t>
            </w:r>
            <w:r>
              <w:rPr>
                <w:rFonts w:ascii="Calibri" w:hAnsi="Calibri"/>
                <w:sz w:val="20"/>
                <w:szCs w:val="20"/>
              </w:rPr>
              <w:t xml:space="preserve"> regarding the VSL Ombudsman external dispute resolution scheme, and minor edits to </w:t>
            </w:r>
            <w:r w:rsidRPr="0028499D">
              <w:rPr>
                <w:rFonts w:ascii="Calibri" w:hAnsi="Calibri"/>
                <w:b/>
                <w:sz w:val="20"/>
                <w:szCs w:val="20"/>
              </w:rPr>
              <w:t>‘</w:t>
            </w:r>
            <w:hyperlink w:anchor="_VET_Student_Loans" w:history="1">
              <w:r w:rsidRPr="00287AB4">
                <w:rPr>
                  <w:rStyle w:val="Hyperlink"/>
                  <w:rFonts w:ascii="Calibri" w:hAnsi="Calibri"/>
                  <w:sz w:val="20"/>
                  <w:szCs w:val="20"/>
                </w:rPr>
                <w:t>VET Student Loans Ombudsman</w:t>
              </w:r>
            </w:hyperlink>
            <w:r w:rsidRPr="0028499D">
              <w:rPr>
                <w:rFonts w:ascii="Calibri" w:hAnsi="Calibri"/>
                <w:b/>
                <w:sz w:val="20"/>
                <w:szCs w:val="20"/>
              </w:rPr>
              <w:t>’</w:t>
            </w:r>
            <w:r>
              <w:rPr>
                <w:rFonts w:ascii="Calibri" w:hAnsi="Calibri"/>
                <w:sz w:val="20"/>
                <w:szCs w:val="20"/>
              </w:rPr>
              <w:t xml:space="preserve"> section (formerly ‘Providers’ responsibilities’</w:t>
            </w:r>
            <w:r w:rsidR="00D8134F">
              <w:rPr>
                <w:rFonts w:ascii="Calibri" w:hAnsi="Calibri"/>
                <w:sz w:val="20"/>
                <w:szCs w:val="20"/>
              </w:rPr>
              <w:t>)</w:t>
            </w:r>
            <w:r>
              <w:rPr>
                <w:rFonts w:ascii="Calibri" w:hAnsi="Calibri"/>
                <w:sz w:val="20"/>
                <w:szCs w:val="20"/>
              </w:rPr>
              <w:t xml:space="preserve">. </w:t>
            </w:r>
          </w:p>
        </w:tc>
      </w:tr>
      <w:tr w:rsidR="00552553" w:rsidRPr="00244088" w14:paraId="4F41E812"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9890A1E" w14:textId="77777777" w:rsidR="00552553" w:rsidRDefault="00552553" w:rsidP="00361406">
            <w:pPr>
              <w:rPr>
                <w:rFonts w:ascii="Calibri" w:hAnsi="Calibri"/>
              </w:rPr>
            </w:pPr>
          </w:p>
        </w:tc>
        <w:tc>
          <w:tcPr>
            <w:tcW w:w="992" w:type="dxa"/>
          </w:tcPr>
          <w:p w14:paraId="49561004" w14:textId="507F8780" w:rsidR="00552553" w:rsidRPr="00A443F2" w:rsidRDefault="00552553" w:rsidP="00D54E3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4.8.</w:t>
            </w:r>
            <w:r w:rsidR="00D54E3F">
              <w:rPr>
                <w:rFonts w:ascii="Calibri" w:hAnsi="Calibri"/>
                <w:sz w:val="20"/>
                <w:szCs w:val="20"/>
              </w:rPr>
              <w:t>10</w:t>
            </w:r>
          </w:p>
        </w:tc>
        <w:tc>
          <w:tcPr>
            <w:tcW w:w="7807" w:type="dxa"/>
          </w:tcPr>
          <w:p w14:paraId="5FF6FACB" w14:textId="1FF0AD31" w:rsidR="00552553" w:rsidRPr="00DB24D7" w:rsidRDefault="00552553" w:rsidP="00CD3CE6">
            <w:pPr>
              <w:cnfStyle w:val="000000000000" w:firstRow="0" w:lastRow="0" w:firstColumn="0" w:lastColumn="0" w:oddVBand="0" w:evenVBand="0" w:oddHBand="0" w:evenHBand="0" w:firstRowFirstColumn="0" w:firstRowLastColumn="0" w:lastRowFirstColumn="0" w:lastRowLastColumn="0"/>
              <w:rPr>
                <w:i/>
                <w:sz w:val="20"/>
                <w:szCs w:val="20"/>
              </w:rPr>
            </w:pPr>
            <w:r w:rsidRPr="00476B79">
              <w:rPr>
                <w:rFonts w:ascii="Calibri" w:hAnsi="Calibri"/>
                <w:b/>
                <w:sz w:val="20"/>
                <w:szCs w:val="20"/>
              </w:rPr>
              <w:t>Edited</w:t>
            </w:r>
            <w:r>
              <w:rPr>
                <w:rFonts w:ascii="Calibri" w:hAnsi="Calibri"/>
                <w:b/>
                <w:sz w:val="20"/>
                <w:szCs w:val="20"/>
              </w:rPr>
              <w:t>:</w:t>
            </w:r>
            <w:r w:rsidRPr="00476B79">
              <w:rPr>
                <w:rFonts w:ascii="Calibri" w:hAnsi="Calibri"/>
                <w:sz w:val="20"/>
                <w:szCs w:val="20"/>
              </w:rPr>
              <w:t xml:space="preserve"> for clarity – ‘</w:t>
            </w:r>
            <w:hyperlink w:anchor="_Determining_tuition_fees_1" w:history="1">
              <w:r w:rsidRPr="00CA41BC">
                <w:rPr>
                  <w:rStyle w:val="Hyperlink"/>
                  <w:sz w:val="20"/>
                  <w:szCs w:val="20"/>
                </w:rPr>
                <w:t>Determining tuition fees</w:t>
              </w:r>
            </w:hyperlink>
            <w:r w:rsidRPr="00476B79">
              <w:rPr>
                <w:sz w:val="20"/>
                <w:szCs w:val="20"/>
              </w:rPr>
              <w:t>’</w:t>
            </w:r>
          </w:p>
        </w:tc>
      </w:tr>
      <w:tr w:rsidR="009E7998" w:rsidRPr="00244088" w14:paraId="31AB11A2"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2F2A8EC4" w14:textId="77777777" w:rsidR="009E7998" w:rsidRDefault="009E7998" w:rsidP="009E7998">
            <w:pPr>
              <w:rPr>
                <w:rFonts w:ascii="Calibri" w:hAnsi="Calibri"/>
              </w:rPr>
            </w:pPr>
          </w:p>
        </w:tc>
        <w:tc>
          <w:tcPr>
            <w:tcW w:w="992" w:type="dxa"/>
          </w:tcPr>
          <w:p w14:paraId="0EB3CAD9" w14:textId="2C4E5A3A"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4.8.11</w:t>
            </w:r>
          </w:p>
        </w:tc>
        <w:tc>
          <w:tcPr>
            <w:tcW w:w="7807" w:type="dxa"/>
          </w:tcPr>
          <w:p w14:paraId="2279B1EA" w14:textId="54E82921" w:rsidR="009E7998" w:rsidRPr="00476B79"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r w:rsidRPr="008730F2">
              <w:rPr>
                <w:rFonts w:ascii="Calibri" w:hAnsi="Calibri"/>
                <w:b/>
                <w:sz w:val="20"/>
                <w:szCs w:val="20"/>
              </w:rPr>
              <w:t>NEW SECTION</w:t>
            </w:r>
            <w:r>
              <w:rPr>
                <w:rFonts w:ascii="Calibri" w:hAnsi="Calibri"/>
                <w:sz w:val="20"/>
                <w:szCs w:val="20"/>
              </w:rPr>
              <w:t xml:space="preserve"> – ‘</w:t>
            </w:r>
            <w:hyperlink w:anchor="_4.8.11_Recognition_of" w:history="1">
              <w:r w:rsidRPr="009E7998">
                <w:rPr>
                  <w:rStyle w:val="Hyperlink"/>
                  <w:rFonts w:ascii="Calibri" w:hAnsi="Calibri"/>
                  <w:sz w:val="20"/>
                  <w:szCs w:val="20"/>
                </w:rPr>
                <w:t>Recognition of prior learning (RPL), fees and reporting requirements</w:t>
              </w:r>
            </w:hyperlink>
            <w:r>
              <w:rPr>
                <w:rFonts w:ascii="Calibri" w:hAnsi="Calibri"/>
                <w:b/>
                <w:sz w:val="20"/>
                <w:szCs w:val="20"/>
              </w:rPr>
              <w:t>’</w:t>
            </w:r>
            <w:r w:rsidRPr="00203C5D" w:rsidDel="00203C5D">
              <w:rPr>
                <w:rFonts w:ascii="Calibri" w:hAnsi="Calibri"/>
                <w:b/>
                <w:sz w:val="20"/>
                <w:szCs w:val="20"/>
                <w:highlight w:val="yellow"/>
              </w:rPr>
              <w:t xml:space="preserve"> </w:t>
            </w:r>
          </w:p>
        </w:tc>
      </w:tr>
      <w:tr w:rsidR="009E7998" w:rsidRPr="00244088" w14:paraId="0A42CDE0"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10B33A4F" w14:textId="77777777" w:rsidR="009E7998" w:rsidRDefault="009E7998" w:rsidP="009E7998">
            <w:pPr>
              <w:rPr>
                <w:rFonts w:ascii="Calibri" w:hAnsi="Calibri"/>
              </w:rPr>
            </w:pPr>
          </w:p>
        </w:tc>
        <w:tc>
          <w:tcPr>
            <w:tcW w:w="992" w:type="dxa"/>
          </w:tcPr>
          <w:p w14:paraId="46D0AEE8" w14:textId="1D7203DC"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4.8.12</w:t>
            </w:r>
          </w:p>
        </w:tc>
        <w:tc>
          <w:tcPr>
            <w:tcW w:w="7807" w:type="dxa"/>
          </w:tcPr>
          <w:p w14:paraId="37FC75EA" w14:textId="5D01C580" w:rsidR="009E7998" w:rsidRDefault="009E7998" w:rsidP="009E7998">
            <w:pPr>
              <w:cnfStyle w:val="000000000000" w:firstRow="0" w:lastRow="0" w:firstColumn="0" w:lastColumn="0" w:oddVBand="0" w:evenVBand="0" w:oddHBand="0" w:evenHBand="0" w:firstRowFirstColumn="0" w:firstRowLastColumn="0" w:lastRowFirstColumn="0" w:lastRowLastColumn="0"/>
              <w:rPr>
                <w:b/>
                <w:sz w:val="20"/>
                <w:szCs w:val="20"/>
              </w:rPr>
            </w:pPr>
            <w:r w:rsidRPr="00E21162">
              <w:rPr>
                <w:b/>
                <w:sz w:val="20"/>
                <w:szCs w:val="20"/>
              </w:rPr>
              <w:t>Added</w:t>
            </w:r>
            <w:r>
              <w:rPr>
                <w:b/>
                <w:sz w:val="20"/>
                <w:szCs w:val="20"/>
              </w:rPr>
              <w:t>:</w:t>
            </w:r>
            <w:r>
              <w:rPr>
                <w:sz w:val="20"/>
                <w:szCs w:val="20"/>
              </w:rPr>
              <w:t xml:space="preserve"> HEIMS element to example in ‘</w:t>
            </w:r>
            <w:hyperlink w:anchor="_Charging_tuition_fees" w:history="1">
              <w:r w:rsidRPr="000522FE">
                <w:rPr>
                  <w:rStyle w:val="Hyperlink"/>
                  <w:sz w:val="20"/>
                  <w:szCs w:val="20"/>
                </w:rPr>
                <w:t>Charging tuition fees over periods for a course</w:t>
              </w:r>
            </w:hyperlink>
            <w:r>
              <w:rPr>
                <w:sz w:val="20"/>
                <w:szCs w:val="20"/>
              </w:rPr>
              <w:t>’ and other text edits</w:t>
            </w:r>
            <w:r w:rsidRPr="00D72F36">
              <w:rPr>
                <w:b/>
                <w:sz w:val="20"/>
                <w:szCs w:val="20"/>
              </w:rPr>
              <w:t xml:space="preserve"> </w:t>
            </w:r>
          </w:p>
          <w:p w14:paraId="4ED2DBB0" w14:textId="2306D950" w:rsidR="009E7998" w:rsidRPr="00476B79"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D72F36">
              <w:rPr>
                <w:b/>
                <w:sz w:val="20"/>
                <w:szCs w:val="20"/>
              </w:rPr>
              <w:t xml:space="preserve">Added: </w:t>
            </w:r>
            <w:hyperlink w:anchor="_Example_Fee_Period" w:history="1">
              <w:r w:rsidRPr="00CA41BC">
                <w:rPr>
                  <w:rStyle w:val="Hyperlink"/>
                  <w:sz w:val="20"/>
                  <w:szCs w:val="20"/>
                </w:rPr>
                <w:t>diagram showing fee periods</w:t>
              </w:r>
            </w:hyperlink>
          </w:p>
        </w:tc>
      </w:tr>
      <w:tr w:rsidR="009E7998" w:rsidRPr="00244088" w14:paraId="5082CDBE"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10F716F6" w14:textId="77777777" w:rsidR="009E7998" w:rsidRDefault="009E7998" w:rsidP="009E7998">
            <w:pPr>
              <w:rPr>
                <w:rFonts w:ascii="Calibri" w:hAnsi="Calibri"/>
              </w:rPr>
            </w:pPr>
          </w:p>
        </w:tc>
        <w:tc>
          <w:tcPr>
            <w:tcW w:w="992" w:type="dxa"/>
          </w:tcPr>
          <w:p w14:paraId="72388E3E" w14:textId="73149055"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4.8.15</w:t>
            </w:r>
          </w:p>
        </w:tc>
        <w:tc>
          <w:tcPr>
            <w:tcW w:w="7807" w:type="dxa"/>
          </w:tcPr>
          <w:p w14:paraId="7EB5C72C" w14:textId="747F684B" w:rsidR="009E7998" w:rsidRPr="00476B79"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hyperlink w:anchor="Review_procedure_flowchart" w:history="1">
              <w:r w:rsidRPr="00D76262">
                <w:rPr>
                  <w:rStyle w:val="Hyperlink"/>
                  <w:rFonts w:ascii="Calibri" w:hAnsi="Calibri"/>
                  <w:sz w:val="20"/>
                  <w:szCs w:val="20"/>
                </w:rPr>
                <w:t>Review procedure flow chart</w:t>
              </w:r>
            </w:hyperlink>
            <w:r>
              <w:rPr>
                <w:rFonts w:ascii="Calibri" w:hAnsi="Calibri"/>
                <w:sz w:val="20"/>
                <w:szCs w:val="20"/>
              </w:rPr>
              <w:t xml:space="preserve"> and text edits</w:t>
            </w:r>
          </w:p>
        </w:tc>
      </w:tr>
      <w:tr w:rsidR="00ED730B" w:rsidRPr="00244088" w14:paraId="063271B2"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5226789E" w14:textId="77777777" w:rsidR="00ED730B" w:rsidRDefault="00ED730B" w:rsidP="009E7998">
            <w:pPr>
              <w:rPr>
                <w:rFonts w:ascii="Calibri" w:hAnsi="Calibri"/>
              </w:rPr>
            </w:pPr>
          </w:p>
        </w:tc>
        <w:tc>
          <w:tcPr>
            <w:tcW w:w="992" w:type="dxa"/>
          </w:tcPr>
          <w:p w14:paraId="28EE2575" w14:textId="48C71089" w:rsidR="00ED730B" w:rsidRDefault="00ED730B"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4.8.16</w:t>
            </w:r>
          </w:p>
        </w:tc>
        <w:tc>
          <w:tcPr>
            <w:tcW w:w="7807" w:type="dxa"/>
          </w:tcPr>
          <w:p w14:paraId="531FCE19" w14:textId="0DE33EEF" w:rsidR="00ED730B" w:rsidRPr="008C449E" w:rsidRDefault="00ED730B" w:rsidP="00ED730B">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b/>
                <w:sz w:val="20"/>
                <w:szCs w:val="20"/>
              </w:rPr>
              <w:t>Added: NEW SECTION – ‘</w:t>
            </w:r>
            <w:hyperlink w:anchor="_Toc471300329" w:history="1">
              <w:r w:rsidRPr="00ED730B">
                <w:rPr>
                  <w:rStyle w:val="Hyperlink"/>
                  <w:rFonts w:ascii="Calibri" w:hAnsi="Calibri"/>
                  <w:sz w:val="20"/>
                  <w:szCs w:val="20"/>
                </w:rPr>
                <w:t>Processes and procedures relating for handling information</w:t>
              </w:r>
            </w:hyperlink>
            <w:r>
              <w:rPr>
                <w:rFonts w:ascii="Calibri" w:hAnsi="Calibri"/>
                <w:sz w:val="20"/>
                <w:szCs w:val="20"/>
              </w:rPr>
              <w:t xml:space="preserve">’ </w:t>
            </w:r>
          </w:p>
        </w:tc>
      </w:tr>
      <w:tr w:rsidR="009E7998" w:rsidRPr="00244088" w14:paraId="7AA7F172"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2E70DBDF" w14:textId="77777777" w:rsidR="009E7998" w:rsidRDefault="009E7998" w:rsidP="009E7998">
            <w:pPr>
              <w:rPr>
                <w:rFonts w:ascii="Calibri" w:hAnsi="Calibri"/>
              </w:rPr>
            </w:pPr>
          </w:p>
        </w:tc>
        <w:tc>
          <w:tcPr>
            <w:tcW w:w="992" w:type="dxa"/>
          </w:tcPr>
          <w:p w14:paraId="3AAFD1FA" w14:textId="323E698B"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4.9</w:t>
            </w:r>
          </w:p>
        </w:tc>
        <w:tc>
          <w:tcPr>
            <w:tcW w:w="7807" w:type="dxa"/>
          </w:tcPr>
          <w:p w14:paraId="0617471B" w14:textId="2A4EF9A2" w:rsidR="009E7998" w:rsidRPr="00476B79"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907EC">
              <w:rPr>
                <w:rFonts w:ascii="Calibri" w:hAnsi="Calibri"/>
                <w:b/>
                <w:sz w:val="20"/>
                <w:szCs w:val="20"/>
              </w:rPr>
              <w:t>Added</w:t>
            </w:r>
            <w:r w:rsidRPr="00172BBC">
              <w:rPr>
                <w:rFonts w:ascii="Calibri" w:hAnsi="Calibri"/>
                <w:sz w:val="20"/>
                <w:szCs w:val="20"/>
              </w:rPr>
              <w:t>: Explanatory text – ‘</w:t>
            </w:r>
            <w:hyperlink w:anchor="_4.9_Census_Days_2" w:history="1">
              <w:r w:rsidRPr="00EC33DE">
                <w:rPr>
                  <w:rStyle w:val="Hyperlink"/>
                  <w:rFonts w:ascii="Calibri" w:hAnsi="Calibri"/>
                  <w:sz w:val="20"/>
                  <w:szCs w:val="20"/>
                </w:rPr>
                <w:t>Census days</w:t>
              </w:r>
            </w:hyperlink>
            <w:r w:rsidRPr="00172BBC">
              <w:rPr>
                <w:rFonts w:ascii="Calibri" w:hAnsi="Calibri"/>
                <w:sz w:val="20"/>
                <w:szCs w:val="20"/>
              </w:rPr>
              <w:t>’</w:t>
            </w:r>
          </w:p>
        </w:tc>
      </w:tr>
      <w:tr w:rsidR="009E7998" w:rsidRPr="00244088" w14:paraId="26E92357"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17E6A52B" w14:textId="77777777" w:rsidR="009E7998" w:rsidRDefault="009E7998" w:rsidP="009E7998">
            <w:pPr>
              <w:rPr>
                <w:rFonts w:ascii="Calibri" w:hAnsi="Calibri"/>
              </w:rPr>
            </w:pPr>
          </w:p>
        </w:tc>
        <w:tc>
          <w:tcPr>
            <w:tcW w:w="992" w:type="dxa"/>
          </w:tcPr>
          <w:p w14:paraId="065B14C1" w14:textId="4F881EEF"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4.9.1</w:t>
            </w:r>
          </w:p>
        </w:tc>
        <w:tc>
          <w:tcPr>
            <w:tcW w:w="7807" w:type="dxa"/>
          </w:tcPr>
          <w:p w14:paraId="6F37D114" w14:textId="70EF4960" w:rsidR="009E7998" w:rsidRPr="00172BBC" w:rsidRDefault="009E7998" w:rsidP="00B16FE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07EC">
              <w:rPr>
                <w:rFonts w:ascii="Calibri" w:hAnsi="Calibri"/>
                <w:b/>
                <w:sz w:val="20"/>
                <w:szCs w:val="20"/>
              </w:rPr>
              <w:t>Added:</w:t>
            </w:r>
            <w:r w:rsidRPr="000275A1">
              <w:rPr>
                <w:rFonts w:ascii="Calibri" w:hAnsi="Calibri"/>
                <w:sz w:val="20"/>
                <w:szCs w:val="20"/>
              </w:rPr>
              <w:t xml:space="preserve"> </w:t>
            </w:r>
            <w:hyperlink w:anchor="_Toc481649903" w:history="1">
              <w:r w:rsidR="00B16FEC">
                <w:rPr>
                  <w:rStyle w:val="Hyperlink"/>
                  <w:rFonts w:ascii="Calibri" w:hAnsi="Calibri"/>
                  <w:sz w:val="20"/>
                  <w:szCs w:val="20"/>
                </w:rPr>
                <w:t>diagram showing how to determine census days</w:t>
              </w:r>
            </w:hyperlink>
            <w:r>
              <w:rPr>
                <w:rFonts w:ascii="Calibri" w:hAnsi="Calibri"/>
                <w:sz w:val="20"/>
                <w:szCs w:val="20"/>
              </w:rPr>
              <w:t xml:space="preserve"> and edits to text</w:t>
            </w:r>
          </w:p>
        </w:tc>
      </w:tr>
      <w:tr w:rsidR="009E7998" w:rsidRPr="00244088" w14:paraId="754480E6"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58FD7BB9" w14:textId="77777777" w:rsidR="009E7998" w:rsidRDefault="009E7998" w:rsidP="009E7998">
            <w:pPr>
              <w:rPr>
                <w:rFonts w:ascii="Calibri" w:hAnsi="Calibri"/>
              </w:rPr>
            </w:pPr>
          </w:p>
        </w:tc>
        <w:tc>
          <w:tcPr>
            <w:tcW w:w="992" w:type="dxa"/>
          </w:tcPr>
          <w:p w14:paraId="0F804E1D" w14:textId="17541F9E"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4.9.4</w:t>
            </w:r>
          </w:p>
        </w:tc>
        <w:tc>
          <w:tcPr>
            <w:tcW w:w="7807" w:type="dxa"/>
          </w:tcPr>
          <w:p w14:paraId="48416336" w14:textId="64D51557" w:rsidR="009E7998" w:rsidRPr="000275A1"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b/>
                <w:sz w:val="20"/>
                <w:szCs w:val="20"/>
              </w:rPr>
              <w:t xml:space="preserve">Added: </w:t>
            </w:r>
            <w:r>
              <w:rPr>
                <w:rFonts w:ascii="Calibri" w:hAnsi="Calibri"/>
                <w:sz w:val="20"/>
                <w:szCs w:val="20"/>
              </w:rPr>
              <w:t>paragraph to ‘</w:t>
            </w:r>
            <w:hyperlink w:anchor="_4.9.4__" w:history="1">
              <w:r w:rsidRPr="00E230F2">
                <w:rPr>
                  <w:rStyle w:val="Hyperlink"/>
                  <w:rFonts w:ascii="Calibri" w:hAnsi="Calibri"/>
                  <w:sz w:val="20"/>
                  <w:szCs w:val="20"/>
                </w:rPr>
                <w:t>Variations to census days</w:t>
              </w:r>
            </w:hyperlink>
            <w:r>
              <w:rPr>
                <w:rFonts w:ascii="Calibri" w:hAnsi="Calibri"/>
                <w:sz w:val="20"/>
                <w:szCs w:val="20"/>
              </w:rPr>
              <w:t>’ for clarity of administrative error</w:t>
            </w:r>
          </w:p>
        </w:tc>
      </w:tr>
      <w:tr w:rsidR="009E7998" w:rsidRPr="00244088" w14:paraId="1B1B404D"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1E09AA1" w14:textId="77777777" w:rsidR="009E7998" w:rsidRDefault="009E7998" w:rsidP="009E7998">
            <w:pPr>
              <w:rPr>
                <w:rFonts w:ascii="Calibri" w:hAnsi="Calibri"/>
              </w:rPr>
            </w:pPr>
          </w:p>
        </w:tc>
        <w:tc>
          <w:tcPr>
            <w:tcW w:w="992" w:type="dxa"/>
          </w:tcPr>
          <w:p w14:paraId="0098FD57" w14:textId="423D0F11" w:rsidR="009E7998"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4.10.8</w:t>
            </w:r>
          </w:p>
        </w:tc>
        <w:tc>
          <w:tcPr>
            <w:tcW w:w="7807" w:type="dxa"/>
          </w:tcPr>
          <w:p w14:paraId="083BA6D6" w14:textId="1EA80AFB" w:rsidR="009E7998" w:rsidRPr="0028499D"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b/>
                <w:sz w:val="20"/>
                <w:szCs w:val="20"/>
              </w:rPr>
              <w:t xml:space="preserve">Added: </w:t>
            </w:r>
            <w:r w:rsidRPr="00B337F5">
              <w:rPr>
                <w:rFonts w:ascii="Calibri" w:hAnsi="Calibri"/>
                <w:sz w:val="20"/>
                <w:szCs w:val="20"/>
              </w:rPr>
              <w:t xml:space="preserve">clarification </w:t>
            </w:r>
            <w:r>
              <w:rPr>
                <w:rFonts w:ascii="Calibri" w:hAnsi="Calibri"/>
                <w:sz w:val="20"/>
                <w:szCs w:val="20"/>
              </w:rPr>
              <w:t>around what</w:t>
            </w:r>
            <w:r w:rsidRPr="00B337F5">
              <w:rPr>
                <w:rFonts w:ascii="Calibri" w:hAnsi="Calibri"/>
                <w:sz w:val="20"/>
                <w:szCs w:val="20"/>
              </w:rPr>
              <w:t xml:space="preserve"> counts as ‘</w:t>
            </w:r>
            <w:hyperlink w:anchor="_4.10.8__" w:history="1">
              <w:r w:rsidRPr="00EC33DE">
                <w:rPr>
                  <w:rStyle w:val="Hyperlink"/>
                  <w:rFonts w:ascii="Calibri" w:hAnsi="Calibri"/>
                  <w:sz w:val="20"/>
                  <w:szCs w:val="20"/>
                </w:rPr>
                <w:t>social media’</w:t>
              </w:r>
            </w:hyperlink>
          </w:p>
        </w:tc>
      </w:tr>
      <w:tr w:rsidR="009E7998" w:rsidRPr="00244088" w14:paraId="6FFB971D"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6011FE0D" w14:textId="77777777" w:rsidR="009E7998" w:rsidRDefault="009E7998" w:rsidP="009E7998">
            <w:pPr>
              <w:rPr>
                <w:rFonts w:ascii="Calibri" w:hAnsi="Calibri"/>
              </w:rPr>
            </w:pPr>
          </w:p>
        </w:tc>
        <w:tc>
          <w:tcPr>
            <w:tcW w:w="992" w:type="dxa"/>
          </w:tcPr>
          <w:p w14:paraId="2D4C145D" w14:textId="759A238C"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4.10.9</w:t>
            </w:r>
          </w:p>
        </w:tc>
        <w:tc>
          <w:tcPr>
            <w:tcW w:w="7807" w:type="dxa"/>
          </w:tcPr>
          <w:p w14:paraId="5AB5ECE1" w14:textId="3B5032C9" w:rsidR="009E7998"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Important Note </w:t>
            </w:r>
            <w:r w:rsidRPr="008C449E">
              <w:rPr>
                <w:rFonts w:ascii="Calibri" w:hAnsi="Calibri"/>
                <w:sz w:val="20"/>
                <w:szCs w:val="20"/>
              </w:rPr>
              <w:t>in</w:t>
            </w:r>
            <w:r>
              <w:rPr>
                <w:rFonts w:ascii="Calibri" w:hAnsi="Calibri"/>
                <w:b/>
                <w:sz w:val="20"/>
                <w:szCs w:val="20"/>
              </w:rPr>
              <w:t xml:space="preserve"> </w:t>
            </w:r>
            <w:hyperlink w:anchor="_Toc477960408" w:history="1">
              <w:r w:rsidRPr="00E230F2">
                <w:rPr>
                  <w:rStyle w:val="Hyperlink"/>
                  <w:rFonts w:ascii="Calibri" w:hAnsi="Calibri"/>
                  <w:sz w:val="20"/>
                  <w:szCs w:val="20"/>
                </w:rPr>
                <w:t>Branding</w:t>
              </w:r>
            </w:hyperlink>
          </w:p>
        </w:tc>
      </w:tr>
      <w:tr w:rsidR="009E7998" w:rsidRPr="00244088" w14:paraId="333B8035"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5426454A" w14:textId="77777777" w:rsidR="009E7998" w:rsidRDefault="009E7998" w:rsidP="009E7998">
            <w:pPr>
              <w:rPr>
                <w:rFonts w:ascii="Calibri" w:hAnsi="Calibri"/>
              </w:rPr>
            </w:pPr>
          </w:p>
        </w:tc>
        <w:tc>
          <w:tcPr>
            <w:tcW w:w="992" w:type="dxa"/>
          </w:tcPr>
          <w:p w14:paraId="5B3D1653" w14:textId="324844E7" w:rsidR="009E7998"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4.11</w:t>
            </w:r>
          </w:p>
        </w:tc>
        <w:tc>
          <w:tcPr>
            <w:tcW w:w="7807" w:type="dxa"/>
          </w:tcPr>
          <w:p w14:paraId="518E6450" w14:textId="3D44F1E9" w:rsidR="009E7998" w:rsidRDefault="009E7998" w:rsidP="00E5031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r w:rsidRPr="0028499D">
              <w:rPr>
                <w:rFonts w:ascii="Calibri" w:hAnsi="Calibri"/>
                <w:sz w:val="20"/>
                <w:szCs w:val="20"/>
              </w:rPr>
              <w:t>section</w:t>
            </w:r>
            <w:r>
              <w:rPr>
                <w:rFonts w:ascii="Calibri" w:hAnsi="Calibri"/>
                <w:b/>
                <w:sz w:val="20"/>
                <w:szCs w:val="20"/>
              </w:rPr>
              <w:t xml:space="preserve"> ‘</w:t>
            </w:r>
            <w:hyperlink w:anchor="_Provider_administration_obligations" w:history="1">
              <w:r w:rsidRPr="00721203">
                <w:rPr>
                  <w:rStyle w:val="Hyperlink"/>
                  <w:rFonts w:ascii="Calibri" w:hAnsi="Calibri"/>
                  <w:sz w:val="20"/>
                  <w:szCs w:val="20"/>
                </w:rPr>
                <w:t>Provider administration obligations for approved VET Student Loans courses</w:t>
              </w:r>
            </w:hyperlink>
            <w:r>
              <w:rPr>
                <w:rFonts w:ascii="Calibri" w:hAnsi="Calibri"/>
                <w:b/>
                <w:sz w:val="20"/>
                <w:szCs w:val="20"/>
              </w:rPr>
              <w:t>’</w:t>
            </w:r>
            <w:r w:rsidR="00E5031A">
              <w:rPr>
                <w:rFonts w:ascii="Calibri" w:hAnsi="Calibri"/>
                <w:sz w:val="20"/>
                <w:szCs w:val="20"/>
              </w:rPr>
              <w:t>,</w:t>
            </w:r>
            <w:r>
              <w:rPr>
                <w:rFonts w:ascii="Calibri" w:hAnsi="Calibri"/>
                <w:b/>
                <w:sz w:val="20"/>
                <w:szCs w:val="20"/>
              </w:rPr>
              <w:t xml:space="preserve"> </w:t>
            </w:r>
            <w:r w:rsidRPr="0028499D">
              <w:rPr>
                <w:rFonts w:ascii="Calibri" w:hAnsi="Calibri"/>
                <w:sz w:val="20"/>
                <w:szCs w:val="20"/>
              </w:rPr>
              <w:t xml:space="preserve"> edited text in</w:t>
            </w:r>
            <w:r>
              <w:rPr>
                <w:rFonts w:ascii="Calibri" w:hAnsi="Calibri"/>
                <w:b/>
                <w:sz w:val="20"/>
                <w:szCs w:val="20"/>
              </w:rPr>
              <w:t xml:space="preserve"> ‘</w:t>
            </w:r>
            <w:hyperlink w:anchor="_Toc481649930" w:history="1">
              <w:r w:rsidRPr="00900262">
                <w:rPr>
                  <w:rStyle w:val="Hyperlink"/>
                  <w:rFonts w:ascii="Calibri" w:hAnsi="Calibri"/>
                  <w:sz w:val="20"/>
                  <w:szCs w:val="20"/>
                </w:rPr>
                <w:t>Provision of information to students</w:t>
              </w:r>
            </w:hyperlink>
            <w:r>
              <w:rPr>
                <w:rFonts w:ascii="Calibri" w:hAnsi="Calibri"/>
                <w:b/>
                <w:sz w:val="20"/>
                <w:szCs w:val="20"/>
              </w:rPr>
              <w:t>’</w:t>
            </w:r>
            <w:r w:rsidR="00E5031A">
              <w:rPr>
                <w:rFonts w:ascii="Calibri" w:hAnsi="Calibri"/>
                <w:b/>
                <w:sz w:val="20"/>
                <w:szCs w:val="20"/>
              </w:rPr>
              <w:t xml:space="preserve">, added </w:t>
            </w:r>
            <w:r w:rsidR="00E5031A" w:rsidRPr="00E5031A">
              <w:rPr>
                <w:rFonts w:ascii="Calibri" w:hAnsi="Calibri"/>
                <w:sz w:val="20"/>
                <w:szCs w:val="20"/>
              </w:rPr>
              <w:t>section ‘</w:t>
            </w:r>
            <w:r w:rsidR="00E5031A" w:rsidRPr="00E5031A">
              <w:rPr>
                <w:rStyle w:val="Hyperlink"/>
                <w:rFonts w:ascii="Calibri" w:hAnsi="Calibri"/>
                <w:sz w:val="20"/>
              </w:rPr>
              <w:t>Providing information before enrolment</w:t>
            </w:r>
            <w:r w:rsidR="001469B3">
              <w:rPr>
                <w:rFonts w:ascii="Calibri" w:hAnsi="Calibri"/>
                <w:sz w:val="20"/>
                <w:szCs w:val="20"/>
              </w:rPr>
              <w:t>’</w:t>
            </w:r>
            <w:r w:rsidR="00E5031A">
              <w:rPr>
                <w:rFonts w:ascii="Calibri" w:hAnsi="Calibri"/>
                <w:b/>
                <w:sz w:val="20"/>
                <w:szCs w:val="20"/>
              </w:rPr>
              <w:t xml:space="preserve"> </w:t>
            </w:r>
          </w:p>
        </w:tc>
      </w:tr>
      <w:tr w:rsidR="009E7998" w:rsidRPr="00244088" w14:paraId="4FDBC820"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71D73B0D" w14:textId="77777777" w:rsidR="009E7998" w:rsidRDefault="009E7998" w:rsidP="009E7998">
            <w:pPr>
              <w:rPr>
                <w:rFonts w:ascii="Calibri" w:hAnsi="Calibri"/>
              </w:rPr>
            </w:pPr>
          </w:p>
        </w:tc>
        <w:tc>
          <w:tcPr>
            <w:tcW w:w="992" w:type="dxa"/>
          </w:tcPr>
          <w:p w14:paraId="690144ED" w14:textId="7D3016DD" w:rsidR="009E7998" w:rsidRDefault="009E7998" w:rsidP="00375E3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4.11.</w:t>
            </w:r>
            <w:r w:rsidR="00375E3E">
              <w:rPr>
                <w:rFonts w:ascii="Calibri" w:hAnsi="Calibri"/>
                <w:sz w:val="20"/>
                <w:szCs w:val="20"/>
              </w:rPr>
              <w:t>3</w:t>
            </w:r>
          </w:p>
        </w:tc>
        <w:tc>
          <w:tcPr>
            <w:tcW w:w="7807" w:type="dxa"/>
          </w:tcPr>
          <w:p w14:paraId="70BE24D1" w14:textId="6823068B" w:rsidR="009E7998"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Edited: </w:t>
            </w:r>
            <w:hyperlink w:anchor="_4.11.3__" w:history="1">
              <w:r w:rsidRPr="00375E3E">
                <w:rPr>
                  <w:rStyle w:val="Hyperlink"/>
                  <w:rFonts w:ascii="Calibri" w:hAnsi="Calibri"/>
                  <w:sz w:val="20"/>
                  <w:szCs w:val="20"/>
                </w:rPr>
                <w:t>Providing VSL Fee Notices</w:t>
              </w:r>
            </w:hyperlink>
            <w:r>
              <w:rPr>
                <w:rFonts w:ascii="Calibri" w:hAnsi="Calibri"/>
                <w:b/>
                <w:sz w:val="20"/>
                <w:szCs w:val="20"/>
              </w:rPr>
              <w:t xml:space="preserve"> </w:t>
            </w:r>
            <w:r w:rsidRPr="0028499D">
              <w:rPr>
                <w:rFonts w:ascii="Calibri" w:hAnsi="Calibri"/>
                <w:sz w:val="20"/>
                <w:szCs w:val="20"/>
              </w:rPr>
              <w:t>– edits for clarity</w:t>
            </w:r>
          </w:p>
        </w:tc>
      </w:tr>
      <w:tr w:rsidR="00192748" w:rsidRPr="00244088" w14:paraId="501DDC8F"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58A2767E" w14:textId="77777777" w:rsidR="00192748" w:rsidRDefault="00192748" w:rsidP="009E7998">
            <w:pPr>
              <w:rPr>
                <w:rFonts w:ascii="Calibri" w:hAnsi="Calibri"/>
              </w:rPr>
            </w:pPr>
          </w:p>
        </w:tc>
        <w:tc>
          <w:tcPr>
            <w:tcW w:w="992" w:type="dxa"/>
          </w:tcPr>
          <w:p w14:paraId="6BA8AB25" w14:textId="767A3677" w:rsidR="00192748" w:rsidRDefault="00192748" w:rsidP="00375E3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4.14.3</w:t>
            </w:r>
          </w:p>
        </w:tc>
        <w:tc>
          <w:tcPr>
            <w:tcW w:w="7807" w:type="dxa"/>
          </w:tcPr>
          <w:p w14:paraId="40BA8F72" w14:textId="452C637F" w:rsidR="00192748" w:rsidRDefault="0019274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r w:rsidRPr="00192748">
              <w:rPr>
                <w:rFonts w:ascii="Calibri" w:hAnsi="Calibri"/>
                <w:sz w:val="20"/>
                <w:szCs w:val="20"/>
              </w:rPr>
              <w:t>text regarding payment validation</w:t>
            </w:r>
          </w:p>
        </w:tc>
      </w:tr>
      <w:tr w:rsidR="009E7998" w:rsidRPr="00244088" w14:paraId="57B68215"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2921ABDC" w14:textId="77777777" w:rsidR="009E7998" w:rsidRDefault="009E7998" w:rsidP="009E7998">
            <w:pPr>
              <w:rPr>
                <w:rFonts w:ascii="Calibri" w:hAnsi="Calibri"/>
              </w:rPr>
            </w:pPr>
          </w:p>
        </w:tc>
        <w:tc>
          <w:tcPr>
            <w:tcW w:w="992" w:type="dxa"/>
          </w:tcPr>
          <w:p w14:paraId="0BCAECF1" w14:textId="0DC179BF" w:rsidR="009E7998"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4.14.4</w:t>
            </w:r>
          </w:p>
        </w:tc>
        <w:tc>
          <w:tcPr>
            <w:tcW w:w="7807" w:type="dxa"/>
          </w:tcPr>
          <w:p w14:paraId="02F0A11D" w14:textId="631718B7" w:rsidR="009E7998"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76B79">
              <w:rPr>
                <w:rFonts w:ascii="Calibri" w:hAnsi="Calibri"/>
                <w:b/>
                <w:sz w:val="20"/>
                <w:szCs w:val="20"/>
              </w:rPr>
              <w:t xml:space="preserve">Added: table </w:t>
            </w:r>
            <w:r w:rsidR="00375E3E">
              <w:rPr>
                <w:rFonts w:ascii="Calibri" w:hAnsi="Calibri"/>
                <w:sz w:val="20"/>
                <w:szCs w:val="20"/>
              </w:rPr>
              <w:t>–</w:t>
            </w:r>
            <w:r w:rsidRPr="00476B79">
              <w:rPr>
                <w:rFonts w:ascii="Calibri" w:hAnsi="Calibri"/>
                <w:sz w:val="20"/>
                <w:szCs w:val="20"/>
              </w:rPr>
              <w:t xml:space="preserve"> </w:t>
            </w:r>
            <w:hyperlink w:anchor="_4.14.4__" w:history="1">
              <w:r w:rsidRPr="00EC33DE">
                <w:rPr>
                  <w:rStyle w:val="Hyperlink"/>
                  <w:sz w:val="20"/>
                  <w:szCs w:val="20"/>
                </w:rPr>
                <w:t>2017 data reporting timeframes and clarification on reporting unit completions</w:t>
              </w:r>
            </w:hyperlink>
          </w:p>
        </w:tc>
      </w:tr>
      <w:tr w:rsidR="009E7998" w:rsidRPr="00244088" w14:paraId="424BEDA5"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21E12A14" w14:textId="77777777" w:rsidR="009E7998" w:rsidRDefault="009E7998" w:rsidP="009E7998">
            <w:pPr>
              <w:rPr>
                <w:rFonts w:ascii="Calibri" w:hAnsi="Calibri"/>
              </w:rPr>
            </w:pPr>
          </w:p>
        </w:tc>
        <w:tc>
          <w:tcPr>
            <w:tcW w:w="992" w:type="dxa"/>
          </w:tcPr>
          <w:p w14:paraId="5617F318" w14:textId="79DE5A43"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4.14.5</w:t>
            </w:r>
          </w:p>
        </w:tc>
        <w:tc>
          <w:tcPr>
            <w:tcW w:w="7807" w:type="dxa"/>
          </w:tcPr>
          <w:p w14:paraId="6FD5B18A" w14:textId="7D3A82A9" w:rsidR="009E7998" w:rsidRPr="00A443F2"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A443F2">
              <w:rPr>
                <w:rFonts w:ascii="Calibri" w:hAnsi="Calibri"/>
                <w:b/>
                <w:sz w:val="20"/>
                <w:szCs w:val="20"/>
              </w:rPr>
              <w:t>Added:</w:t>
            </w:r>
            <w:r w:rsidRPr="00A443F2">
              <w:rPr>
                <w:rFonts w:ascii="Calibri" w:hAnsi="Calibri"/>
                <w:sz w:val="20"/>
                <w:szCs w:val="20"/>
              </w:rPr>
              <w:t xml:space="preserve"> </w:t>
            </w:r>
            <w:hyperlink w:anchor="_4.14.5__" w:history="1">
              <w:r>
                <w:rPr>
                  <w:rStyle w:val="Hyperlink"/>
                  <w:rFonts w:ascii="Calibri" w:hAnsi="Calibri"/>
                  <w:sz w:val="20"/>
                  <w:szCs w:val="20"/>
                </w:rPr>
                <w:t>L</w:t>
              </w:r>
              <w:r w:rsidRPr="00EC33DE">
                <w:rPr>
                  <w:rStyle w:val="Hyperlink"/>
                  <w:rFonts w:ascii="Calibri" w:hAnsi="Calibri"/>
                  <w:sz w:val="20"/>
                  <w:szCs w:val="20"/>
                </w:rPr>
                <w:t>inks</w:t>
              </w:r>
            </w:hyperlink>
            <w:r>
              <w:rPr>
                <w:rFonts w:ascii="Calibri" w:hAnsi="Calibri"/>
                <w:sz w:val="20"/>
                <w:szCs w:val="20"/>
              </w:rPr>
              <w:t xml:space="preserve"> to statistical data</w:t>
            </w:r>
          </w:p>
        </w:tc>
      </w:tr>
      <w:tr w:rsidR="008E3A3A" w:rsidRPr="00244088" w14:paraId="14F9A311"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3310E38F" w14:textId="77777777" w:rsidR="008E3A3A" w:rsidRDefault="008E3A3A" w:rsidP="009E7998">
            <w:pPr>
              <w:rPr>
                <w:rFonts w:ascii="Calibri" w:hAnsi="Calibri"/>
              </w:rPr>
            </w:pPr>
          </w:p>
        </w:tc>
        <w:tc>
          <w:tcPr>
            <w:tcW w:w="992" w:type="dxa"/>
          </w:tcPr>
          <w:p w14:paraId="29F6B6D9" w14:textId="029808B5" w:rsidR="008E3A3A" w:rsidRPr="00A443F2" w:rsidRDefault="008E3A3A"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w:t>
            </w:r>
          </w:p>
        </w:tc>
        <w:tc>
          <w:tcPr>
            <w:tcW w:w="7807" w:type="dxa"/>
          </w:tcPr>
          <w:p w14:paraId="78D16AC3" w14:textId="102C6E59" w:rsidR="008E3A3A" w:rsidRPr="00A443F2" w:rsidRDefault="008E3A3A" w:rsidP="00B24B7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r w:rsidRPr="008E3A3A">
              <w:rPr>
                <w:rFonts w:ascii="Calibri" w:hAnsi="Calibri"/>
                <w:sz w:val="20"/>
                <w:szCs w:val="20"/>
              </w:rPr>
              <w:t xml:space="preserve">text </w:t>
            </w:r>
            <w:r>
              <w:rPr>
                <w:rFonts w:ascii="Calibri" w:hAnsi="Calibri"/>
                <w:sz w:val="20"/>
                <w:szCs w:val="20"/>
              </w:rPr>
              <w:t>to ‘</w:t>
            </w:r>
            <w:hyperlink w:anchor="_Toc471374620" w:history="1">
              <w:r w:rsidRPr="008E3A3A">
                <w:rPr>
                  <w:rStyle w:val="Hyperlink"/>
                  <w:rFonts w:ascii="Calibri" w:hAnsi="Calibri"/>
                  <w:sz w:val="20"/>
                  <w:szCs w:val="20"/>
                </w:rPr>
                <w:t>Payments to approved course providers</w:t>
              </w:r>
            </w:hyperlink>
            <w:r>
              <w:rPr>
                <w:rFonts w:ascii="Calibri" w:hAnsi="Calibri"/>
                <w:sz w:val="20"/>
                <w:szCs w:val="20"/>
              </w:rPr>
              <w:t xml:space="preserve">’ </w:t>
            </w:r>
            <w:r w:rsidRPr="008E3A3A">
              <w:rPr>
                <w:rFonts w:ascii="Calibri" w:hAnsi="Calibri"/>
                <w:sz w:val="20"/>
                <w:szCs w:val="20"/>
              </w:rPr>
              <w:t xml:space="preserve">regarding </w:t>
            </w:r>
            <w:r>
              <w:rPr>
                <w:rFonts w:ascii="Calibri" w:hAnsi="Calibri"/>
                <w:sz w:val="20"/>
                <w:szCs w:val="20"/>
              </w:rPr>
              <w:t xml:space="preserve">the </w:t>
            </w:r>
            <w:r w:rsidRPr="008E3A3A">
              <w:rPr>
                <w:rFonts w:ascii="Calibri" w:hAnsi="Calibri"/>
                <w:sz w:val="20"/>
                <w:szCs w:val="20"/>
              </w:rPr>
              <w:t>payments pro</w:t>
            </w:r>
            <w:r w:rsidR="001469B3">
              <w:rPr>
                <w:rFonts w:ascii="Calibri" w:hAnsi="Calibri"/>
                <w:sz w:val="20"/>
                <w:szCs w:val="20"/>
              </w:rPr>
              <w:t>cess and</w:t>
            </w:r>
            <w:r w:rsidR="00B24B70">
              <w:rPr>
                <w:rFonts w:ascii="Calibri" w:hAnsi="Calibri"/>
                <w:sz w:val="20"/>
                <w:szCs w:val="20"/>
              </w:rPr>
              <w:t xml:space="preserve"> </w:t>
            </w:r>
            <w:r w:rsidR="00B24B70" w:rsidRPr="00B24B70">
              <w:rPr>
                <w:rFonts w:ascii="Calibri" w:hAnsi="Calibri"/>
                <w:b/>
                <w:sz w:val="20"/>
                <w:szCs w:val="20"/>
              </w:rPr>
              <w:t>Added</w:t>
            </w:r>
            <w:r w:rsidR="00B24B70">
              <w:rPr>
                <w:rFonts w:ascii="Calibri" w:hAnsi="Calibri"/>
                <w:sz w:val="20"/>
                <w:szCs w:val="20"/>
              </w:rPr>
              <w:t xml:space="preserve"> section ‘</w:t>
            </w:r>
            <w:hyperlink w:anchor="_Data_Reporting_Statutory" w:history="1">
              <w:r w:rsidR="00B24B70" w:rsidRPr="00B24B70">
                <w:rPr>
                  <w:rStyle w:val="Hyperlink"/>
                  <w:rFonts w:ascii="Calibri" w:hAnsi="Calibri"/>
                  <w:sz w:val="20"/>
                  <w:szCs w:val="20"/>
                </w:rPr>
                <w:t>Data Reporting Statutory Declarations</w:t>
              </w:r>
            </w:hyperlink>
            <w:r w:rsidR="00B24B70">
              <w:rPr>
                <w:rFonts w:ascii="Calibri" w:hAnsi="Calibri"/>
                <w:sz w:val="20"/>
                <w:szCs w:val="20"/>
              </w:rPr>
              <w:t>’</w:t>
            </w:r>
          </w:p>
        </w:tc>
      </w:tr>
      <w:tr w:rsidR="009E7998" w:rsidRPr="00244088" w14:paraId="65E487CD"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75E89AB8" w14:textId="77777777" w:rsidR="009E7998" w:rsidRDefault="009E7998" w:rsidP="009E7998">
            <w:pPr>
              <w:rPr>
                <w:rFonts w:ascii="Calibri" w:hAnsi="Calibri"/>
              </w:rPr>
            </w:pPr>
          </w:p>
        </w:tc>
        <w:tc>
          <w:tcPr>
            <w:tcW w:w="992" w:type="dxa"/>
          </w:tcPr>
          <w:p w14:paraId="7784857E" w14:textId="6CC4B918"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2B015A">
              <w:rPr>
                <w:rFonts w:ascii="Calibri" w:hAnsi="Calibri"/>
                <w:sz w:val="20"/>
                <w:szCs w:val="20"/>
              </w:rPr>
              <w:t>5.1</w:t>
            </w:r>
          </w:p>
        </w:tc>
        <w:tc>
          <w:tcPr>
            <w:tcW w:w="7807" w:type="dxa"/>
          </w:tcPr>
          <w:p w14:paraId="32022E55" w14:textId="05B7384A" w:rsidR="009E7998" w:rsidRPr="00A443F2" w:rsidRDefault="009E7998" w:rsidP="005461DB">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b/>
                <w:sz w:val="20"/>
                <w:szCs w:val="20"/>
              </w:rPr>
              <w:t xml:space="preserve">Added: </w:t>
            </w:r>
            <w:r w:rsidR="005461DB" w:rsidRPr="005461DB">
              <w:rPr>
                <w:b/>
                <w:sz w:val="20"/>
                <w:szCs w:val="20"/>
              </w:rPr>
              <w:t xml:space="preserve">Important </w:t>
            </w:r>
            <w:r w:rsidR="005461DB">
              <w:rPr>
                <w:b/>
                <w:sz w:val="20"/>
                <w:szCs w:val="20"/>
              </w:rPr>
              <w:t>n</w:t>
            </w:r>
            <w:r w:rsidR="005461DB" w:rsidRPr="005461DB">
              <w:rPr>
                <w:b/>
                <w:sz w:val="20"/>
                <w:szCs w:val="20"/>
              </w:rPr>
              <w:t>ote</w:t>
            </w:r>
            <w:r w:rsidR="005461DB">
              <w:rPr>
                <w:b/>
                <w:sz w:val="20"/>
                <w:szCs w:val="20"/>
              </w:rPr>
              <w:t xml:space="preserve"> re</w:t>
            </w:r>
            <w:r w:rsidR="005461DB" w:rsidRPr="005461DB">
              <w:rPr>
                <w:b/>
                <w:sz w:val="20"/>
                <w:szCs w:val="20"/>
              </w:rPr>
              <w:t>:</w:t>
            </w:r>
            <w:r w:rsidR="005461DB">
              <w:rPr>
                <w:b/>
                <w:sz w:val="20"/>
                <w:szCs w:val="20"/>
              </w:rPr>
              <w:t xml:space="preserve"> </w:t>
            </w:r>
            <w:hyperlink w:anchor="_Provider_fee_limit_1" w:history="1">
              <w:r w:rsidR="005461DB">
                <w:rPr>
                  <w:rStyle w:val="Hyperlink"/>
                  <w:sz w:val="20"/>
                  <w:szCs w:val="20"/>
                </w:rPr>
                <w:t>t</w:t>
              </w:r>
              <w:r w:rsidR="005461DB" w:rsidRPr="005461DB">
                <w:rPr>
                  <w:rStyle w:val="Hyperlink"/>
                  <w:sz w:val="20"/>
                  <w:szCs w:val="20"/>
                </w:rPr>
                <w:t>he consumption of a provider’s fee limit</w:t>
              </w:r>
            </w:hyperlink>
          </w:p>
        </w:tc>
      </w:tr>
      <w:tr w:rsidR="009E7998" w:rsidRPr="00244088" w14:paraId="2F3B4C0D"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0B3AAA34" w14:textId="77777777" w:rsidR="009E7998" w:rsidRDefault="009E7998" w:rsidP="009E7998">
            <w:pPr>
              <w:rPr>
                <w:rFonts w:ascii="Calibri" w:hAnsi="Calibri"/>
              </w:rPr>
            </w:pPr>
          </w:p>
        </w:tc>
        <w:tc>
          <w:tcPr>
            <w:tcW w:w="992" w:type="dxa"/>
          </w:tcPr>
          <w:p w14:paraId="64A0417D" w14:textId="7B4CCA3E" w:rsidR="009E7998" w:rsidRPr="002B015A"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5.2</w:t>
            </w:r>
          </w:p>
        </w:tc>
        <w:tc>
          <w:tcPr>
            <w:tcW w:w="7807" w:type="dxa"/>
          </w:tcPr>
          <w:p w14:paraId="72FD45E1" w14:textId="44BA27CC" w:rsidR="009E7998" w:rsidRPr="002B015A"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A443F2">
              <w:rPr>
                <w:rFonts w:ascii="Calibri" w:hAnsi="Calibri"/>
                <w:b/>
                <w:sz w:val="20"/>
                <w:szCs w:val="20"/>
              </w:rPr>
              <w:t>Added:</w:t>
            </w:r>
            <w:r w:rsidRPr="00A443F2">
              <w:rPr>
                <w:rFonts w:ascii="Calibri" w:hAnsi="Calibri"/>
                <w:sz w:val="20"/>
                <w:szCs w:val="20"/>
              </w:rPr>
              <w:t xml:space="preserve"> </w:t>
            </w:r>
            <w:r w:rsidRPr="00A443F2">
              <w:rPr>
                <w:rFonts w:ascii="Calibri" w:hAnsi="Calibri"/>
                <w:b/>
                <w:sz w:val="20"/>
                <w:szCs w:val="20"/>
              </w:rPr>
              <w:t xml:space="preserve">NEW </w:t>
            </w:r>
            <w:r>
              <w:rPr>
                <w:rFonts w:ascii="Calibri" w:hAnsi="Calibri"/>
                <w:b/>
                <w:sz w:val="20"/>
                <w:szCs w:val="20"/>
              </w:rPr>
              <w:t>SUB</w:t>
            </w:r>
            <w:r w:rsidRPr="00A443F2">
              <w:rPr>
                <w:rFonts w:ascii="Calibri" w:hAnsi="Calibri"/>
                <w:b/>
                <w:sz w:val="20"/>
                <w:szCs w:val="20"/>
              </w:rPr>
              <w:t>SECTION</w:t>
            </w:r>
            <w:r w:rsidRPr="00A443F2">
              <w:rPr>
                <w:rFonts w:ascii="Calibri" w:hAnsi="Calibri"/>
                <w:sz w:val="20"/>
                <w:szCs w:val="20"/>
              </w:rPr>
              <w:t xml:space="preserve"> </w:t>
            </w:r>
            <w:r>
              <w:rPr>
                <w:rFonts w:ascii="Calibri" w:hAnsi="Calibri"/>
                <w:sz w:val="20"/>
                <w:szCs w:val="20"/>
              </w:rPr>
              <w:t>–</w:t>
            </w:r>
            <w:r w:rsidRPr="00A443F2">
              <w:rPr>
                <w:rFonts w:ascii="Calibri" w:hAnsi="Calibri"/>
                <w:sz w:val="20"/>
                <w:szCs w:val="20"/>
              </w:rPr>
              <w:t xml:space="preserve"> </w:t>
            </w:r>
            <w:r>
              <w:rPr>
                <w:rFonts w:ascii="Calibri" w:hAnsi="Calibri"/>
                <w:sz w:val="20"/>
                <w:szCs w:val="20"/>
              </w:rPr>
              <w:t>‘</w:t>
            </w:r>
            <w:hyperlink w:anchor="_5.2_Process_for" w:history="1">
              <w:r>
                <w:rPr>
                  <w:rStyle w:val="Hyperlink"/>
                  <w:rFonts w:ascii="Calibri" w:hAnsi="Calibri"/>
                  <w:sz w:val="20"/>
                  <w:szCs w:val="20"/>
                </w:rPr>
                <w:t>Process for applying for</w:t>
              </w:r>
              <w:r w:rsidRPr="00EC33DE">
                <w:rPr>
                  <w:rStyle w:val="Hyperlink"/>
                  <w:rFonts w:ascii="Calibri" w:hAnsi="Calibri"/>
                  <w:sz w:val="20"/>
                  <w:szCs w:val="20"/>
                </w:rPr>
                <w:t xml:space="preserve"> an increase to </w:t>
              </w:r>
              <w:r>
                <w:rPr>
                  <w:rStyle w:val="Hyperlink"/>
                  <w:rFonts w:ascii="Calibri" w:hAnsi="Calibri"/>
                  <w:sz w:val="20"/>
                  <w:szCs w:val="20"/>
                </w:rPr>
                <w:t xml:space="preserve">a </w:t>
              </w:r>
              <w:r w:rsidRPr="00EC33DE">
                <w:rPr>
                  <w:rStyle w:val="Hyperlink"/>
                  <w:rFonts w:ascii="Calibri" w:hAnsi="Calibri"/>
                  <w:sz w:val="20"/>
                  <w:szCs w:val="20"/>
                </w:rPr>
                <w:t>provider fee limit</w:t>
              </w:r>
            </w:hyperlink>
            <w:r>
              <w:rPr>
                <w:rFonts w:ascii="Calibri" w:hAnsi="Calibri"/>
                <w:sz w:val="20"/>
                <w:szCs w:val="20"/>
              </w:rPr>
              <w:t>’</w:t>
            </w:r>
          </w:p>
        </w:tc>
      </w:tr>
      <w:tr w:rsidR="009E7998" w:rsidRPr="00244088" w14:paraId="705DE2A3"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10E15F80" w14:textId="77777777" w:rsidR="009E7998" w:rsidRDefault="009E7998" w:rsidP="009E7998">
            <w:pPr>
              <w:rPr>
                <w:rFonts w:ascii="Calibri" w:hAnsi="Calibri"/>
              </w:rPr>
            </w:pPr>
          </w:p>
        </w:tc>
        <w:tc>
          <w:tcPr>
            <w:tcW w:w="992" w:type="dxa"/>
          </w:tcPr>
          <w:p w14:paraId="31195DA2" w14:textId="004AE06A"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App A</w:t>
            </w:r>
          </w:p>
        </w:tc>
        <w:tc>
          <w:tcPr>
            <w:tcW w:w="7807" w:type="dxa"/>
          </w:tcPr>
          <w:p w14:paraId="3529E92B" w14:textId="5CAA72B4" w:rsidR="009E7998" w:rsidRPr="00A443F2"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b/>
                <w:sz w:val="20"/>
                <w:szCs w:val="20"/>
              </w:rPr>
              <w:t xml:space="preserve">Added: </w:t>
            </w:r>
            <w:hyperlink w:anchor="_Toc339446938" w:history="1">
              <w:r w:rsidRPr="00ED4F3F">
                <w:rPr>
                  <w:rStyle w:val="Hyperlink"/>
                  <w:rFonts w:ascii="Calibri" w:hAnsi="Calibri"/>
                  <w:sz w:val="20"/>
                  <w:szCs w:val="20"/>
                </w:rPr>
                <w:t>Brokers and Agents penalty</w:t>
              </w:r>
            </w:hyperlink>
            <w:r>
              <w:rPr>
                <w:rFonts w:ascii="Calibri" w:hAnsi="Calibri"/>
                <w:b/>
                <w:sz w:val="20"/>
                <w:szCs w:val="20"/>
              </w:rPr>
              <w:t xml:space="preserve"> </w:t>
            </w:r>
          </w:p>
        </w:tc>
      </w:tr>
      <w:tr w:rsidR="009E7998" w:rsidRPr="00244088" w14:paraId="12DF91CF"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4082DAF7" w14:textId="77777777" w:rsidR="009E7998" w:rsidRDefault="009E7998" w:rsidP="009E7998">
            <w:pPr>
              <w:rPr>
                <w:rFonts w:ascii="Calibri" w:hAnsi="Calibri"/>
              </w:rPr>
            </w:pPr>
          </w:p>
        </w:tc>
        <w:tc>
          <w:tcPr>
            <w:tcW w:w="992" w:type="dxa"/>
          </w:tcPr>
          <w:p w14:paraId="7716FCE9" w14:textId="72859717"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App F</w:t>
            </w:r>
          </w:p>
        </w:tc>
        <w:tc>
          <w:tcPr>
            <w:tcW w:w="7807" w:type="dxa"/>
          </w:tcPr>
          <w:p w14:paraId="47F165EA" w14:textId="6E43F96B" w:rsidR="009E7998" w:rsidRPr="00A443F2"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Edited:  ‘</w:t>
            </w:r>
            <w:hyperlink w:anchor="_Appendix_F_–Fees" w:history="1">
              <w:r w:rsidRPr="00ED4F3F">
                <w:rPr>
                  <w:rStyle w:val="Hyperlink"/>
                  <w:rFonts w:ascii="Calibri" w:hAnsi="Calibri"/>
                  <w:sz w:val="20"/>
                  <w:szCs w:val="20"/>
                </w:rPr>
                <w:t>Fees not covered by a VSL</w:t>
              </w:r>
            </w:hyperlink>
            <w:r>
              <w:rPr>
                <w:rFonts w:ascii="Calibri" w:hAnsi="Calibri"/>
                <w:b/>
                <w:sz w:val="20"/>
                <w:szCs w:val="20"/>
              </w:rPr>
              <w:t>’</w:t>
            </w:r>
            <w:r w:rsidRPr="00F877F9">
              <w:rPr>
                <w:rFonts w:ascii="Calibri" w:hAnsi="Calibri"/>
                <w:b/>
                <w:sz w:val="20"/>
                <w:szCs w:val="20"/>
              </w:rPr>
              <w:t xml:space="preserve"> </w:t>
            </w:r>
            <w:r>
              <w:rPr>
                <w:rFonts w:ascii="Calibri" w:hAnsi="Calibri"/>
                <w:b/>
                <w:sz w:val="20"/>
                <w:szCs w:val="20"/>
              </w:rPr>
              <w:t>–</w:t>
            </w:r>
            <w:r w:rsidRPr="00F877F9">
              <w:rPr>
                <w:rFonts w:ascii="Calibri" w:hAnsi="Calibri"/>
                <w:b/>
                <w:sz w:val="20"/>
                <w:szCs w:val="20"/>
              </w:rPr>
              <w:t xml:space="preserve"> </w:t>
            </w:r>
            <w:r w:rsidRPr="0028499D">
              <w:rPr>
                <w:rFonts w:ascii="Calibri" w:hAnsi="Calibri"/>
                <w:sz w:val="20"/>
                <w:szCs w:val="20"/>
              </w:rPr>
              <w:t>minor text addition for clarity</w:t>
            </w:r>
          </w:p>
        </w:tc>
      </w:tr>
      <w:tr w:rsidR="009E7998" w:rsidRPr="00244088" w14:paraId="11F4ED0B"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05130D4D" w14:textId="77777777" w:rsidR="009E7998" w:rsidRDefault="009E7998" w:rsidP="009E7998">
            <w:pPr>
              <w:rPr>
                <w:rFonts w:ascii="Calibri" w:hAnsi="Calibri"/>
              </w:rPr>
            </w:pPr>
          </w:p>
        </w:tc>
        <w:tc>
          <w:tcPr>
            <w:tcW w:w="992" w:type="dxa"/>
          </w:tcPr>
          <w:p w14:paraId="46F205F5" w14:textId="4B686ABC" w:rsidR="009E7998"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App H</w:t>
            </w:r>
          </w:p>
        </w:tc>
        <w:tc>
          <w:tcPr>
            <w:tcW w:w="7807" w:type="dxa"/>
          </w:tcPr>
          <w:p w14:paraId="4DDB70AE" w14:textId="60E273CF" w:rsidR="009E7998"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Added: </w:t>
            </w:r>
            <w:hyperlink w:anchor="_Appendix_H_–" w:history="1">
              <w:r w:rsidRPr="004D2501">
                <w:rPr>
                  <w:rStyle w:val="Hyperlink"/>
                  <w:rFonts w:ascii="Calibri" w:hAnsi="Calibri"/>
                  <w:b w:val="0"/>
                  <w:sz w:val="20"/>
                  <w:szCs w:val="20"/>
                </w:rPr>
                <w:t>note relating to consumption of a provider’s fee limit</w:t>
              </w:r>
            </w:hyperlink>
            <w:r w:rsidRPr="00740514">
              <w:rPr>
                <w:rFonts w:ascii="Calibri" w:hAnsi="Calibri"/>
                <w:b/>
                <w:sz w:val="20"/>
                <w:szCs w:val="20"/>
              </w:rPr>
              <w:t xml:space="preserve"> </w:t>
            </w:r>
          </w:p>
        </w:tc>
      </w:tr>
      <w:tr w:rsidR="009E7998" w:rsidRPr="00244088" w14:paraId="43AF07C7" w14:textId="77777777" w:rsidTr="00774E3B">
        <w:trPr>
          <w:cantSplit/>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5CCC6B9E" w14:textId="77777777" w:rsidR="009E7998" w:rsidRDefault="009E7998" w:rsidP="009E7998">
            <w:pPr>
              <w:rPr>
                <w:rFonts w:ascii="Calibri" w:hAnsi="Calibri"/>
              </w:rPr>
            </w:pPr>
          </w:p>
        </w:tc>
        <w:tc>
          <w:tcPr>
            <w:tcW w:w="992" w:type="dxa"/>
            <w:tcBorders>
              <w:bottom w:val="single" w:sz="4" w:space="0" w:color="auto"/>
            </w:tcBorders>
          </w:tcPr>
          <w:p w14:paraId="29497586" w14:textId="2AF11762"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443F2">
              <w:rPr>
                <w:rFonts w:ascii="Calibri" w:hAnsi="Calibri"/>
                <w:sz w:val="20"/>
                <w:szCs w:val="20"/>
              </w:rPr>
              <w:t>App I</w:t>
            </w:r>
          </w:p>
        </w:tc>
        <w:tc>
          <w:tcPr>
            <w:tcW w:w="7807" w:type="dxa"/>
            <w:tcBorders>
              <w:bottom w:val="single" w:sz="4" w:space="0" w:color="auto"/>
            </w:tcBorders>
          </w:tcPr>
          <w:p w14:paraId="022E6974" w14:textId="46FC22DF" w:rsidR="009E7998" w:rsidRPr="00A443F2"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A443F2">
              <w:rPr>
                <w:rFonts w:ascii="Calibri" w:hAnsi="Calibri"/>
                <w:b/>
                <w:sz w:val="20"/>
                <w:szCs w:val="20"/>
              </w:rPr>
              <w:t>Added:</w:t>
            </w:r>
            <w:r w:rsidRPr="00A443F2">
              <w:rPr>
                <w:rFonts w:ascii="Calibri" w:hAnsi="Calibri"/>
                <w:sz w:val="20"/>
                <w:szCs w:val="20"/>
              </w:rPr>
              <w:t xml:space="preserve"> </w:t>
            </w:r>
            <w:r>
              <w:rPr>
                <w:rFonts w:ascii="Calibri" w:hAnsi="Calibri"/>
                <w:sz w:val="20"/>
                <w:szCs w:val="20"/>
              </w:rPr>
              <w:t>‘</w:t>
            </w:r>
            <w:hyperlink w:anchor="_Appendix_I_–" w:history="1">
              <w:r w:rsidRPr="00EC33DE">
                <w:rPr>
                  <w:rStyle w:val="Hyperlink"/>
                  <w:rFonts w:ascii="Calibri" w:hAnsi="Calibri"/>
                  <w:sz w:val="20"/>
                  <w:szCs w:val="20"/>
                </w:rPr>
                <w:t>Reporting against EFTSL for part time students</w:t>
              </w:r>
            </w:hyperlink>
            <w:r>
              <w:rPr>
                <w:rFonts w:ascii="Calibri" w:hAnsi="Calibri"/>
                <w:sz w:val="20"/>
                <w:szCs w:val="20"/>
              </w:rPr>
              <w:t>’</w:t>
            </w:r>
          </w:p>
        </w:tc>
      </w:tr>
      <w:tr w:rsidR="009E7998" w:rsidRPr="00244088" w14:paraId="3C0F7D48" w14:textId="77777777" w:rsidTr="00774E3B">
        <w:trPr>
          <w:cantSplit/>
          <w:trHeight w:val="20"/>
          <w:jc w:val="center"/>
        </w:trPr>
        <w:tc>
          <w:tcPr>
            <w:cnfStyle w:val="001000000000" w:firstRow="0" w:lastRow="0" w:firstColumn="1" w:lastColumn="0" w:oddVBand="0" w:evenVBand="0" w:oddHBand="0" w:evenHBand="0" w:firstRowFirstColumn="0" w:firstRowLastColumn="0" w:lastRowFirstColumn="0" w:lastRowLastColumn="0"/>
            <w:tcW w:w="983" w:type="dxa"/>
            <w:vMerge/>
          </w:tcPr>
          <w:p w14:paraId="2CCA30B1" w14:textId="77777777" w:rsidR="009E7998" w:rsidRDefault="009E7998" w:rsidP="009E7998">
            <w:pPr>
              <w:rPr>
                <w:rFonts w:ascii="Calibri" w:hAnsi="Calibri"/>
              </w:rPr>
            </w:pPr>
          </w:p>
        </w:tc>
        <w:tc>
          <w:tcPr>
            <w:tcW w:w="992" w:type="dxa"/>
            <w:tcBorders>
              <w:top w:val="single" w:sz="4" w:space="0" w:color="auto"/>
            </w:tcBorders>
          </w:tcPr>
          <w:p w14:paraId="63BAB025" w14:textId="423D0546" w:rsidR="009E7998" w:rsidRPr="00A443F2" w:rsidRDefault="009E7998" w:rsidP="009E799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App J</w:t>
            </w:r>
          </w:p>
        </w:tc>
        <w:tc>
          <w:tcPr>
            <w:tcW w:w="7807" w:type="dxa"/>
            <w:tcBorders>
              <w:top w:val="single" w:sz="4" w:space="0" w:color="auto"/>
            </w:tcBorders>
          </w:tcPr>
          <w:p w14:paraId="1E95EDD4" w14:textId="055AD41F" w:rsidR="009E7998" w:rsidRPr="00A443F2" w:rsidRDefault="009E7998" w:rsidP="009E799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b/>
                <w:sz w:val="20"/>
                <w:szCs w:val="20"/>
              </w:rPr>
              <w:t xml:space="preserve">Removed: </w:t>
            </w:r>
            <w:r w:rsidRPr="004C11CB">
              <w:rPr>
                <w:rFonts w:ascii="Calibri" w:hAnsi="Calibri"/>
                <w:sz w:val="20"/>
                <w:szCs w:val="20"/>
              </w:rPr>
              <w:t>documents and publications removed</w:t>
            </w:r>
            <w:r>
              <w:rPr>
                <w:rFonts w:ascii="Calibri" w:hAnsi="Calibri"/>
                <w:sz w:val="20"/>
                <w:szCs w:val="20"/>
              </w:rPr>
              <w:t xml:space="preserve"> and update to reflect VSL website</w:t>
            </w:r>
          </w:p>
        </w:tc>
      </w:tr>
    </w:tbl>
    <w:p w14:paraId="4C2765C5" w14:textId="0383C6C2" w:rsidR="00032A77" w:rsidRDefault="0017660C">
      <w:pPr>
        <w:spacing w:line="276" w:lineRule="auto"/>
        <w:rPr>
          <w:sz w:val="18"/>
          <w:szCs w:val="18"/>
        </w:rPr>
      </w:pPr>
      <w:bookmarkStart w:id="1" w:name="_Toc491156547"/>
      <w:bookmarkStart w:id="2" w:name="_Toc491156758"/>
      <w:bookmarkEnd w:id="1"/>
      <w:bookmarkEnd w:id="2"/>
      <w:r w:rsidRPr="00DA16F7">
        <w:rPr>
          <w:sz w:val="18"/>
          <w:szCs w:val="18"/>
        </w:rPr>
        <w:t>* Renumbering has not been recorded</w:t>
      </w:r>
      <w:r w:rsidR="00C075A9">
        <w:rPr>
          <w:sz w:val="18"/>
          <w:szCs w:val="18"/>
        </w:rPr>
        <w:t>. Some minor text and formatting edits do not appear in the change register.</w:t>
      </w:r>
    </w:p>
    <w:p w14:paraId="0A6D9B76" w14:textId="77777777" w:rsidR="00032A77" w:rsidRDefault="00032A77">
      <w:pPr>
        <w:spacing w:line="276" w:lineRule="auto"/>
        <w:rPr>
          <w:sz w:val="18"/>
          <w:szCs w:val="18"/>
        </w:rPr>
      </w:pPr>
    </w:p>
    <w:p w14:paraId="394619CF" w14:textId="2BAE8646" w:rsidR="00347827" w:rsidRDefault="00347827">
      <w:pPr>
        <w:spacing w:line="276" w:lineRule="auto"/>
        <w:rPr>
          <w:sz w:val="18"/>
          <w:szCs w:val="18"/>
          <w:highlight w:val="lightGray"/>
        </w:rPr>
      </w:pPr>
      <w:r w:rsidRPr="0017660C">
        <w:rPr>
          <w:sz w:val="18"/>
          <w:szCs w:val="18"/>
          <w:highlight w:val="lightGray"/>
        </w:rPr>
        <w:br w:type="page"/>
      </w:r>
    </w:p>
    <w:p w14:paraId="5158EE31" w14:textId="05105513" w:rsidR="00666087" w:rsidRPr="00C9014F" w:rsidRDefault="00666087" w:rsidP="00666087">
      <w:pPr>
        <w:pStyle w:val="Heading2"/>
      </w:pPr>
      <w:bookmarkStart w:id="3" w:name="_VET_Student_Loans_1"/>
      <w:bookmarkStart w:id="4" w:name="_Toc501621152"/>
      <w:bookmarkEnd w:id="3"/>
      <w:r w:rsidRPr="00C9014F">
        <w:lastRenderedPageBreak/>
        <w:t>VET Student Loans Provider Manual</w:t>
      </w:r>
      <w:r w:rsidR="00AF032D" w:rsidRPr="00C9014F">
        <w:t xml:space="preserve"> – Purpose</w:t>
      </w:r>
      <w:bookmarkEnd w:id="4"/>
      <w:r w:rsidRPr="00C9014F">
        <w:t xml:space="preserve"> </w:t>
      </w:r>
    </w:p>
    <w:p w14:paraId="5BB6BF64" w14:textId="0741725D" w:rsidR="00666087" w:rsidRPr="00C9014F" w:rsidRDefault="00666087" w:rsidP="00666087">
      <w:pPr>
        <w:spacing w:after="120"/>
      </w:pPr>
      <w:r w:rsidRPr="00C9014F">
        <w:t xml:space="preserve">The purpose of the VET Student Loans Manual for Providers (the Manual) is to assist and guide </w:t>
      </w:r>
      <w:r w:rsidR="00A975F3" w:rsidRPr="00C9014F">
        <w:t>approved course providers (</w:t>
      </w:r>
      <w:r w:rsidRPr="00C9014F">
        <w:t>providers</w:t>
      </w:r>
      <w:r w:rsidR="00A975F3" w:rsidRPr="00C9014F">
        <w:t>)</w:t>
      </w:r>
      <w:r w:rsidRPr="00C9014F">
        <w:t xml:space="preserve"> in meeting the requirements under the VET Student Loans program.</w:t>
      </w:r>
    </w:p>
    <w:p w14:paraId="0CD94742" w14:textId="77777777" w:rsidR="00666087" w:rsidRPr="00C9014F" w:rsidRDefault="00666087" w:rsidP="00666087">
      <w:pPr>
        <w:spacing w:after="120"/>
      </w:pPr>
      <w:r w:rsidRPr="00C9014F">
        <w:t xml:space="preserve">The Manual is not a substitute for independent legal advice. If there is any ambiguity or inconsistency between this document and the </w:t>
      </w:r>
      <w:r w:rsidRPr="00C9014F">
        <w:rPr>
          <w:i/>
        </w:rPr>
        <w:t>VET Student Loans Act 2016</w:t>
      </w:r>
      <w:r w:rsidRPr="00C9014F">
        <w:t xml:space="preserve"> (the Act) and the </w:t>
      </w:r>
      <w:r w:rsidRPr="00C9014F">
        <w:rPr>
          <w:i/>
        </w:rPr>
        <w:t>VET Student Loans Rules 2016</w:t>
      </w:r>
      <w:r w:rsidRPr="00C9014F">
        <w:t xml:space="preserve"> (the Rules), the Act and the Rules take precedence.</w:t>
      </w:r>
    </w:p>
    <w:p w14:paraId="068F5FFC" w14:textId="77777777" w:rsidR="00666087" w:rsidRPr="00C9014F" w:rsidRDefault="00666087" w:rsidP="00666087">
      <w:pPr>
        <w:spacing w:after="120"/>
      </w:pPr>
      <w:r w:rsidRPr="00C9014F">
        <w:t xml:space="preserve">References to the </w:t>
      </w:r>
      <w:r w:rsidRPr="00C9014F">
        <w:rPr>
          <w:i/>
        </w:rPr>
        <w:t xml:space="preserve">VET Student Loans Act 2016 </w:t>
      </w:r>
      <w:r w:rsidRPr="00C9014F">
        <w:t>will look like this:</w:t>
      </w:r>
      <w:r w:rsidRPr="00C9014F">
        <w:rPr>
          <w:rStyle w:val="StrongcolorChar"/>
        </w:rPr>
        <w:t xml:space="preserve"> </w:t>
      </w:r>
      <w:r w:rsidRPr="00C9014F">
        <w:rPr>
          <w:rStyle w:val="ReferenceChar"/>
        </w:rPr>
        <w:t>[Act s 25]</w:t>
      </w:r>
      <w:r w:rsidRPr="00C9014F">
        <w:t>.</w:t>
      </w:r>
    </w:p>
    <w:p w14:paraId="4561F215" w14:textId="6166479A" w:rsidR="00666087" w:rsidRPr="00C9014F" w:rsidRDefault="00666087" w:rsidP="00666087">
      <w:pPr>
        <w:pStyle w:val="BodyIndent1"/>
        <w:spacing w:before="0"/>
        <w:ind w:left="0"/>
      </w:pPr>
      <w:r w:rsidRPr="00C9014F">
        <w:t>Reference to the VET Student Loans Rules 2016 will look like this:</w:t>
      </w:r>
      <w:r w:rsidRPr="00C9014F">
        <w:rPr>
          <w:rFonts w:asciiTheme="minorHAnsi" w:hAnsiTheme="minorHAnsi" w:cstheme="minorHAnsi"/>
          <w:sz w:val="20"/>
          <w:szCs w:val="20"/>
        </w:rPr>
        <w:t xml:space="preserve"> </w:t>
      </w:r>
      <w:r w:rsidRPr="00C9014F">
        <w:rPr>
          <w:rStyle w:val="ReferenceChar"/>
        </w:rPr>
        <w:t>[Rules s 40]</w:t>
      </w:r>
      <w:r w:rsidRPr="00C9014F">
        <w:t>.</w:t>
      </w:r>
    </w:p>
    <w:p w14:paraId="2BD5C5AC" w14:textId="5594F6C9" w:rsidR="003A2A37" w:rsidRPr="00C9014F" w:rsidRDefault="003A2A37" w:rsidP="00666087">
      <w:pPr>
        <w:pStyle w:val="BodyIndent1"/>
        <w:spacing w:before="0"/>
        <w:ind w:left="0"/>
      </w:pPr>
      <w:r w:rsidRPr="00C9014F">
        <w:t xml:space="preserve">References to </w:t>
      </w:r>
      <w:r w:rsidR="00353258" w:rsidRPr="00C9014F">
        <w:t xml:space="preserve">Schedule 1A of </w:t>
      </w:r>
      <w:r w:rsidRPr="00C9014F">
        <w:t xml:space="preserve">the </w:t>
      </w:r>
      <w:r w:rsidRPr="00C9014F">
        <w:rPr>
          <w:i/>
        </w:rPr>
        <w:t>Higher Education Support Act 2003</w:t>
      </w:r>
      <w:r w:rsidRPr="00C9014F">
        <w:t xml:space="preserve"> will look like this: </w:t>
      </w:r>
      <w:r w:rsidRPr="00C9014F">
        <w:rPr>
          <w:rStyle w:val="ReferenceChar"/>
        </w:rPr>
        <w:t>[HESA clause 43]</w:t>
      </w:r>
      <w:r w:rsidRPr="00C9014F">
        <w:t>.</w:t>
      </w:r>
    </w:p>
    <w:p w14:paraId="5990D78F" w14:textId="77777777" w:rsidR="00666087" w:rsidRPr="00C9014F" w:rsidRDefault="00666087" w:rsidP="00666087">
      <w:pPr>
        <w:spacing w:after="120"/>
        <w:rPr>
          <w:rStyle w:val="Strong"/>
        </w:rPr>
      </w:pPr>
      <w:r w:rsidRPr="00C9014F">
        <w:rPr>
          <w:rStyle w:val="Strong"/>
        </w:rPr>
        <w:t xml:space="preserve">Elsewhere when there is reference to a ‘section’, this means a section in this Manual. </w:t>
      </w:r>
    </w:p>
    <w:p w14:paraId="24AA712D" w14:textId="77777777" w:rsidR="00666087" w:rsidRPr="00C9014F" w:rsidRDefault="00666087" w:rsidP="00666087">
      <w:pPr>
        <w:spacing w:after="120"/>
        <w:rPr>
          <w:rFonts w:ascii="Calibri" w:eastAsia="Calibri" w:hAnsi="Calibri" w:cs="Calibri"/>
        </w:rPr>
      </w:pPr>
      <w:r w:rsidRPr="00C9014F">
        <w:rPr>
          <w:rStyle w:val="Strong"/>
        </w:rPr>
        <w:t xml:space="preserve">IMPORTANT NOTE: </w:t>
      </w:r>
      <w:r w:rsidRPr="00C9014F">
        <w:rPr>
          <w:rFonts w:ascii="Calibri" w:eastAsia="Calibri" w:hAnsi="Calibri" w:cs="Calibri"/>
        </w:rPr>
        <w:t xml:space="preserve">In response to providers’ feedback, providers are advised that from this edition forward, where the department updates the Manual the department will send a notification to the person/s listed as the ‘Primary contact –VET’ in HITS. </w:t>
      </w:r>
    </w:p>
    <w:p w14:paraId="39C4983A" w14:textId="77777777" w:rsidR="00666087" w:rsidRPr="00C9014F" w:rsidRDefault="00666087" w:rsidP="00666087">
      <w:pPr>
        <w:spacing w:line="276" w:lineRule="auto"/>
        <w:rPr>
          <w:rFonts w:ascii="Calibri" w:eastAsiaTheme="majorEastAsia" w:hAnsi="Calibri" w:cstheme="majorBidi"/>
          <w:b/>
          <w:bCs/>
          <w:caps/>
          <w:color w:val="292065"/>
          <w:sz w:val="18"/>
          <w:szCs w:val="18"/>
        </w:rPr>
      </w:pPr>
      <w:r w:rsidRPr="00C9014F">
        <w:rPr>
          <w:rFonts w:ascii="Calibri" w:eastAsia="Calibri" w:hAnsi="Calibri" w:cs="Calibri"/>
        </w:rPr>
        <w:t>Providers are reminded to update all contact details in HITS.</w:t>
      </w:r>
    </w:p>
    <w:p w14:paraId="4610AA7C" w14:textId="5E9C668F" w:rsidR="00983AE6" w:rsidRPr="00993767" w:rsidRDefault="009B0386" w:rsidP="00993767">
      <w:pPr>
        <w:pStyle w:val="Heading1"/>
      </w:pPr>
      <w:bookmarkStart w:id="5" w:name="_Toc501621153"/>
      <w:r w:rsidRPr="00993767">
        <w:t>1</w:t>
      </w:r>
      <w:r w:rsidR="000136BC">
        <w:t>.</w:t>
      </w:r>
      <w:r w:rsidRPr="00993767">
        <w:t xml:space="preserve"> VET STUDENT LOANS</w:t>
      </w:r>
      <w:bookmarkEnd w:id="5"/>
    </w:p>
    <w:p w14:paraId="0869207B" w14:textId="31175FAE" w:rsidR="00F530B3" w:rsidRPr="007C1EC3" w:rsidRDefault="00F530B3" w:rsidP="00F530B3">
      <w:pPr>
        <w:pStyle w:val="ListBullet"/>
        <w:numPr>
          <w:ilvl w:val="0"/>
          <w:numId w:val="0"/>
        </w:numPr>
      </w:pPr>
      <w:r>
        <w:t xml:space="preserve">VET Student Loans </w:t>
      </w:r>
      <w:r w:rsidRPr="007C1EC3">
        <w:t>is an income contingent loan program to assist eligible vocational education and training students to pay their tuition fees.</w:t>
      </w:r>
    </w:p>
    <w:p w14:paraId="440FC276" w14:textId="2D1B773A" w:rsidR="00983AE6" w:rsidRPr="00A975F3" w:rsidRDefault="00DB210C" w:rsidP="00243885">
      <w:r>
        <w:t>The VET </w:t>
      </w:r>
      <w:r w:rsidR="00983AE6" w:rsidRPr="00736F23">
        <w:t>Student Loans program commence</w:t>
      </w:r>
      <w:r w:rsidR="00983AE6">
        <w:t>d</w:t>
      </w:r>
      <w:r w:rsidR="00983AE6" w:rsidRPr="00736F23">
        <w:t xml:space="preserve"> </w:t>
      </w:r>
      <w:r w:rsidR="00A975F3">
        <w:t>on</w:t>
      </w:r>
      <w:r w:rsidR="00A975F3" w:rsidRPr="00736F23">
        <w:t xml:space="preserve"> </w:t>
      </w:r>
      <w:r w:rsidR="00983AE6" w:rsidRPr="00736F23">
        <w:t>1 January 2017, replacing the VET FEE-HELP scheme, which cease</w:t>
      </w:r>
      <w:r w:rsidR="00983AE6">
        <w:t>d</w:t>
      </w:r>
      <w:r w:rsidR="00983AE6" w:rsidRPr="00736F23">
        <w:t xml:space="preserve"> on 31 December 2016</w:t>
      </w:r>
      <w:r w:rsidR="00983AE6">
        <w:t xml:space="preserve"> for all new students</w:t>
      </w:r>
      <w:r w:rsidR="00983AE6" w:rsidRPr="00736F23">
        <w:t>.</w:t>
      </w:r>
      <w:r w:rsidR="00983AE6">
        <w:t xml:space="preserve"> </w:t>
      </w:r>
      <w:r w:rsidR="00983AE6" w:rsidRPr="00736F23">
        <w:t>The VET Student Loans program</w:t>
      </w:r>
      <w:r w:rsidR="00983AE6">
        <w:t xml:space="preserve"> is</w:t>
      </w:r>
      <w:r w:rsidR="00983AE6" w:rsidRPr="00736F23">
        <w:t xml:space="preserve"> governed by the </w:t>
      </w:r>
      <w:r w:rsidR="00983AE6" w:rsidRPr="00736F23">
        <w:rPr>
          <w:i/>
        </w:rPr>
        <w:t xml:space="preserve">VET Student Loans Act 2016 </w:t>
      </w:r>
      <w:r w:rsidR="00983AE6" w:rsidRPr="00736F23">
        <w:t xml:space="preserve">and the </w:t>
      </w:r>
      <w:r w:rsidR="00983AE6" w:rsidRPr="00C41E53">
        <w:t>VET</w:t>
      </w:r>
      <w:r w:rsidR="003A3A54" w:rsidRPr="00C41E53">
        <w:t> </w:t>
      </w:r>
      <w:r w:rsidR="00983AE6" w:rsidRPr="00C41E53">
        <w:t>Student</w:t>
      </w:r>
      <w:r w:rsidR="003A3A54" w:rsidRPr="00C41E53">
        <w:t> </w:t>
      </w:r>
      <w:r w:rsidR="00983AE6" w:rsidRPr="00C41E53">
        <w:t>Loans Rules 2016</w:t>
      </w:r>
      <w:r w:rsidR="00983AE6" w:rsidRPr="00736F23">
        <w:rPr>
          <w:i/>
        </w:rPr>
        <w:t>.</w:t>
      </w:r>
      <w:r w:rsidR="00A975F3">
        <w:rPr>
          <w:i/>
        </w:rPr>
        <w:t xml:space="preserve"> </w:t>
      </w:r>
      <w:r w:rsidR="00A975F3">
        <w:t xml:space="preserve">The </w:t>
      </w:r>
      <w:r w:rsidR="00A975F3">
        <w:rPr>
          <w:i/>
        </w:rPr>
        <w:t>VET Student Loans (Charges) Act 2016</w:t>
      </w:r>
      <w:r w:rsidR="00A975F3">
        <w:t xml:space="preserve"> allows for the imposition of an annual approved course provider charge on providers.</w:t>
      </w:r>
    </w:p>
    <w:p w14:paraId="2BA3F00D" w14:textId="3BB6EE0C" w:rsidR="00983AE6" w:rsidRDefault="00983AE6" w:rsidP="00243885">
      <w:pPr>
        <w:rPr>
          <w:noProof/>
        </w:rPr>
      </w:pPr>
      <w:r>
        <w:t>The VET Students Loans</w:t>
      </w:r>
      <w:r w:rsidRPr="00736F23">
        <w:rPr>
          <w:i/>
        </w:rPr>
        <w:t xml:space="preserve"> </w:t>
      </w:r>
      <w:r w:rsidRPr="00736F23">
        <w:t>program will</w:t>
      </w:r>
      <w:r w:rsidRPr="00736F23">
        <w:rPr>
          <w:noProof/>
        </w:rPr>
        <w:t xml:space="preserve"> give students, providers  and the VET sector the opportunity to better meet industry needs and employment outcomes while ensuring only quality provid</w:t>
      </w:r>
      <w:r>
        <w:rPr>
          <w:noProof/>
        </w:rPr>
        <w:t>ers are delivering</w:t>
      </w:r>
      <w:r w:rsidR="00A975F3">
        <w:rPr>
          <w:noProof/>
        </w:rPr>
        <w:t xml:space="preserve"> training under</w:t>
      </w:r>
      <w:r>
        <w:rPr>
          <w:noProof/>
        </w:rPr>
        <w:t xml:space="preserve"> the program.</w:t>
      </w:r>
    </w:p>
    <w:p w14:paraId="4B3CEBA1" w14:textId="5E7F7388" w:rsidR="00F530B3" w:rsidRPr="00A41C46" w:rsidRDefault="001514C2" w:rsidP="00A41C46">
      <w:pPr>
        <w:pStyle w:val="Heading2"/>
        <w:rPr>
          <w:color w:val="002060"/>
        </w:rPr>
      </w:pPr>
      <w:bookmarkStart w:id="6" w:name="_1.1_Key_features"/>
      <w:bookmarkStart w:id="7" w:name="_Toc501621154"/>
      <w:bookmarkEnd w:id="6"/>
      <w:r>
        <w:rPr>
          <w:color w:val="002060"/>
        </w:rPr>
        <w:t>1.1 Key</w:t>
      </w:r>
      <w:r w:rsidR="00F530B3" w:rsidRPr="00A41C46">
        <w:rPr>
          <w:color w:val="002060"/>
        </w:rPr>
        <w:t xml:space="preserve"> features</w:t>
      </w:r>
      <w:bookmarkEnd w:id="7"/>
      <w:r w:rsidR="00F530B3" w:rsidRPr="00A41C46">
        <w:rPr>
          <w:color w:val="002060"/>
        </w:rPr>
        <w:t xml:space="preserve"> </w:t>
      </w:r>
    </w:p>
    <w:p w14:paraId="7B284F35" w14:textId="77777777" w:rsidR="00F530B3" w:rsidRPr="00A41C46" w:rsidRDefault="00F530B3" w:rsidP="00A0727A">
      <w:pPr>
        <w:pStyle w:val="ListParagraph"/>
        <w:numPr>
          <w:ilvl w:val="0"/>
          <w:numId w:val="65"/>
        </w:numPr>
        <w:spacing w:after="240"/>
        <w:rPr>
          <w:b/>
        </w:rPr>
      </w:pPr>
      <w:r w:rsidRPr="00A41C46">
        <w:rPr>
          <w:rFonts w:cstheme="minorHAnsi"/>
          <w:b/>
        </w:rPr>
        <w:t>Course eligibility</w:t>
      </w:r>
      <w:r w:rsidRPr="00A41C46">
        <w:rPr>
          <w:rFonts w:cstheme="minorHAnsi"/>
        </w:rPr>
        <w:t xml:space="preserve"> that aligns with industry needs and employment outcomes. Courses that do not align with industry </w:t>
      </w:r>
      <w:r w:rsidRPr="00A41C46">
        <w:t>needs and job outcomes will be excluded from the program.</w:t>
      </w:r>
    </w:p>
    <w:p w14:paraId="5473AEA5" w14:textId="77777777" w:rsidR="00F530B3" w:rsidRPr="00A41C46" w:rsidRDefault="00F530B3" w:rsidP="00A0727A">
      <w:pPr>
        <w:pStyle w:val="ListParagraph"/>
        <w:numPr>
          <w:ilvl w:val="0"/>
          <w:numId w:val="65"/>
        </w:numPr>
        <w:spacing w:after="240"/>
        <w:rPr>
          <w:b/>
        </w:rPr>
      </w:pPr>
      <w:r w:rsidRPr="00A41C46">
        <w:rPr>
          <w:b/>
        </w:rPr>
        <w:t xml:space="preserve">Loan caps </w:t>
      </w:r>
      <w:r w:rsidRPr="00A41C46">
        <w:t>on all eligible courses</w:t>
      </w:r>
      <w:r w:rsidR="00347827">
        <w:t xml:space="preserve"> (</w:t>
      </w:r>
      <w:r w:rsidRPr="00A41C46">
        <w:t>$5,000, $10,000 and $15,000</w:t>
      </w:r>
      <w:r w:rsidR="00347827">
        <w:t>)</w:t>
      </w:r>
      <w:r w:rsidRPr="00A41C46">
        <w:t xml:space="preserve"> based on cost of delivery. Providers will be free to charge above the loan caps, but this will mean that students will need to find the additional funds to complete their studies.</w:t>
      </w:r>
    </w:p>
    <w:p w14:paraId="74FFDCA9" w14:textId="77777777" w:rsidR="00F530B3" w:rsidRPr="00A41C46" w:rsidRDefault="00F530B3" w:rsidP="00A0727A">
      <w:pPr>
        <w:pStyle w:val="ListParagraph"/>
        <w:numPr>
          <w:ilvl w:val="0"/>
          <w:numId w:val="65"/>
        </w:numPr>
        <w:spacing w:after="240"/>
      </w:pPr>
      <w:r w:rsidRPr="00A41C46">
        <w:rPr>
          <w:b/>
        </w:rPr>
        <w:t xml:space="preserve">A student engagement requirement, </w:t>
      </w:r>
      <w:r w:rsidRPr="00A41C46">
        <w:t>where students must log in to an online IT system to demonstrate their continued engagement in their course. This measure commenced on 1 July 2017.</w:t>
      </w:r>
    </w:p>
    <w:p w14:paraId="16C12EBE" w14:textId="77777777" w:rsidR="00F530B3" w:rsidRPr="00A41C46" w:rsidRDefault="00F530B3" w:rsidP="00A0727A">
      <w:pPr>
        <w:pStyle w:val="ListParagraph"/>
        <w:numPr>
          <w:ilvl w:val="0"/>
          <w:numId w:val="65"/>
        </w:numPr>
        <w:spacing w:after="240"/>
      </w:pPr>
      <w:r w:rsidRPr="00A41C46">
        <w:rPr>
          <w:b/>
        </w:rPr>
        <w:t xml:space="preserve">A new outcomes-focused application process </w:t>
      </w:r>
      <w:r w:rsidRPr="00A41C46">
        <w:t>for providers to access the program, including an application fee and time limited approvals.</w:t>
      </w:r>
    </w:p>
    <w:p w14:paraId="0C2ADF81" w14:textId="77777777" w:rsidR="00F530B3" w:rsidRPr="00A41C46" w:rsidRDefault="00F530B3" w:rsidP="00A0727A">
      <w:pPr>
        <w:pStyle w:val="ListParagraph"/>
        <w:numPr>
          <w:ilvl w:val="0"/>
          <w:numId w:val="65"/>
        </w:numPr>
        <w:spacing w:after="240"/>
        <w:rPr>
          <w:b/>
        </w:rPr>
      </w:pPr>
      <w:r w:rsidRPr="00A41C46">
        <w:rPr>
          <w:b/>
        </w:rPr>
        <w:t xml:space="preserve">A strengthened legislative, compliance and payment framework, </w:t>
      </w:r>
      <w:r w:rsidRPr="00A41C46">
        <w:t>including the ability to impose loan caps on providers on a case by case basis to deal with rapid growth in enrolment, loans or course offerings.</w:t>
      </w:r>
    </w:p>
    <w:p w14:paraId="63CD1F58" w14:textId="53A82D8A" w:rsidR="00F530B3" w:rsidRPr="00A41C46" w:rsidRDefault="00F530B3" w:rsidP="00A0727A">
      <w:pPr>
        <w:pStyle w:val="ListParagraph"/>
        <w:numPr>
          <w:ilvl w:val="0"/>
          <w:numId w:val="65"/>
        </w:numPr>
        <w:spacing w:after="240"/>
      </w:pPr>
      <w:r w:rsidRPr="00A41C46">
        <w:rPr>
          <w:b/>
        </w:rPr>
        <w:t xml:space="preserve">A VET Student Loans Ombudsman </w:t>
      </w:r>
      <w:r w:rsidRPr="00A41C46">
        <w:t>to investigate complaints about the Vocational Education and Training (VET) Student Loans program and VET FEE</w:t>
      </w:r>
      <w:r w:rsidRPr="00A41C46">
        <w:noBreakHyphen/>
        <w:t>HELP scheme (the Ombudsman commenced on 1</w:t>
      </w:r>
      <w:r w:rsidR="00F96FE3">
        <w:t> </w:t>
      </w:r>
      <w:r w:rsidRPr="00A41C46">
        <w:t>July</w:t>
      </w:r>
      <w:r w:rsidR="00F96FE3">
        <w:t> </w:t>
      </w:r>
      <w:r w:rsidRPr="00A41C46">
        <w:t>2017).</w:t>
      </w:r>
    </w:p>
    <w:p w14:paraId="4F3857BF" w14:textId="6D739D5C" w:rsidR="00665EAE" w:rsidRDefault="00F530B3" w:rsidP="00A0727A">
      <w:pPr>
        <w:pStyle w:val="ListParagraph"/>
        <w:numPr>
          <w:ilvl w:val="0"/>
          <w:numId w:val="65"/>
        </w:numPr>
        <w:spacing w:after="240"/>
        <w:sectPr w:rsidR="00665EAE" w:rsidSect="0017660C">
          <w:headerReference w:type="even" r:id="rId11"/>
          <w:headerReference w:type="default" r:id="rId12"/>
          <w:footerReference w:type="even" r:id="rId13"/>
          <w:footerReference w:type="default" r:id="rId14"/>
          <w:headerReference w:type="first" r:id="rId15"/>
          <w:footerReference w:type="first" r:id="rId16"/>
          <w:pgSz w:w="11906" w:h="16838" w:code="9"/>
          <w:pgMar w:top="1440" w:right="1276" w:bottom="1276" w:left="851" w:header="567" w:footer="567" w:gutter="0"/>
          <w:cols w:space="708"/>
          <w:titlePg/>
          <w:docGrid w:linePitch="360"/>
        </w:sectPr>
      </w:pPr>
      <w:r w:rsidRPr="00A41C46">
        <w:rPr>
          <w:b/>
        </w:rPr>
        <w:t>Banning brokers, and restrict</w:t>
      </w:r>
      <w:r w:rsidR="00DB6E4E">
        <w:rPr>
          <w:b/>
        </w:rPr>
        <w:t>ion of</w:t>
      </w:r>
      <w:r w:rsidRPr="00A41C46">
        <w:rPr>
          <w:b/>
        </w:rPr>
        <w:t xml:space="preserve"> third party training </w:t>
      </w:r>
      <w:r w:rsidRPr="00A41C46">
        <w:t>to VET Student Loans or TEQSA approved providers or bodies specifically approved by the department on application.</w:t>
      </w:r>
    </w:p>
    <w:p w14:paraId="2CFC0F7E" w14:textId="4EE25F40" w:rsidR="00BF059B" w:rsidRPr="002C6614" w:rsidRDefault="00BF059B" w:rsidP="0028499D">
      <w:pPr>
        <w:rPr>
          <w:color w:val="002060"/>
          <w:sz w:val="24"/>
          <w:szCs w:val="24"/>
        </w:rPr>
      </w:pPr>
      <w:bookmarkStart w:id="8" w:name="_How_does_VET"/>
      <w:bookmarkEnd w:id="8"/>
      <w:r w:rsidRPr="00C9014F">
        <w:rPr>
          <w:b/>
          <w:color w:val="002060"/>
          <w:sz w:val="24"/>
          <w:szCs w:val="24"/>
        </w:rPr>
        <w:lastRenderedPageBreak/>
        <w:t xml:space="preserve">How do VET Student Loans </w:t>
      </w:r>
      <w:r w:rsidR="003A1E3D" w:rsidRPr="00C9014F">
        <w:rPr>
          <w:b/>
          <w:color w:val="002060"/>
          <w:sz w:val="24"/>
          <w:szCs w:val="24"/>
        </w:rPr>
        <w:t xml:space="preserve">(VSL) </w:t>
      </w:r>
      <w:r w:rsidRPr="00C9014F">
        <w:rPr>
          <w:b/>
          <w:color w:val="002060"/>
          <w:sz w:val="24"/>
          <w:szCs w:val="24"/>
        </w:rPr>
        <w:t>work</w:t>
      </w:r>
      <w:r w:rsidR="00E5031A">
        <w:rPr>
          <w:b/>
          <w:color w:val="002060"/>
          <w:sz w:val="24"/>
          <w:szCs w:val="24"/>
        </w:rPr>
        <w:t xml:space="preserve"> (in brief)</w:t>
      </w:r>
      <w:r w:rsidRPr="00C9014F">
        <w:rPr>
          <w:b/>
          <w:color w:val="002060"/>
          <w:sz w:val="24"/>
          <w:szCs w:val="24"/>
        </w:rPr>
        <w:t>?</w:t>
      </w:r>
    </w:p>
    <w:p w14:paraId="6F8E0B4A" w14:textId="3EA67CB1" w:rsidR="00BF059B" w:rsidRDefault="00002BFC" w:rsidP="002C6614">
      <w:pPr>
        <w:jc w:val="center"/>
        <w:rPr>
          <w:highlight w:val="yellow"/>
        </w:rPr>
      </w:pPr>
      <w:r>
        <w:rPr>
          <w:noProof/>
          <w:lang w:eastAsia="en-AU"/>
        </w:rPr>
        <w:drawing>
          <wp:inline distT="0" distB="0" distL="0" distR="0" wp14:anchorId="140A70F0" wp14:editId="6F9B6A78">
            <wp:extent cx="5000625" cy="7038975"/>
            <wp:effectExtent l="0" t="0" r="9525" b="9525"/>
            <wp:docPr id="1" name="Picture 1" descr="Diagram workflow showing what is required from the student, provider and the Department of Education and Training." title="How do VET Student Loans (VS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0625" cy="7038975"/>
                    </a:xfrm>
                    <a:prstGeom prst="rect">
                      <a:avLst/>
                    </a:prstGeom>
                  </pic:spPr>
                </pic:pic>
              </a:graphicData>
            </a:graphic>
          </wp:inline>
        </w:drawing>
      </w:r>
      <w:r w:rsidR="00463BE3" w:rsidRPr="00463BE3">
        <w:rPr>
          <w:noProof/>
          <w:lang w:eastAsia="en-AU"/>
        </w:rPr>
        <w:t xml:space="preserve"> </w:t>
      </w:r>
      <w:r w:rsidR="00BF059B">
        <w:rPr>
          <w:highlight w:val="yellow"/>
        </w:rPr>
        <w:br w:type="page"/>
      </w:r>
    </w:p>
    <w:p w14:paraId="341B4F03" w14:textId="78607C55" w:rsidR="00963989" w:rsidRPr="00C41E53" w:rsidRDefault="001514C2" w:rsidP="002C6614">
      <w:pPr>
        <w:pStyle w:val="Heading2"/>
        <w:rPr>
          <w:color w:val="002060"/>
        </w:rPr>
      </w:pPr>
      <w:bookmarkStart w:id="9" w:name="_1.2_Program_basics"/>
      <w:bookmarkStart w:id="10" w:name="_Toc501621155"/>
      <w:bookmarkEnd w:id="9"/>
      <w:r w:rsidRPr="002C6614">
        <w:rPr>
          <w:color w:val="002060"/>
        </w:rPr>
        <w:lastRenderedPageBreak/>
        <w:t>1.2</w:t>
      </w:r>
      <w:r>
        <w:rPr>
          <w:color w:val="002060"/>
        </w:rPr>
        <w:t xml:space="preserve"> </w:t>
      </w:r>
      <w:r w:rsidRPr="002C6614">
        <w:rPr>
          <w:color w:val="002060"/>
        </w:rPr>
        <w:t>Program</w:t>
      </w:r>
      <w:r w:rsidR="00963989" w:rsidRPr="002C6614">
        <w:rPr>
          <w:color w:val="002060"/>
        </w:rPr>
        <w:t xml:space="preserve"> basics</w:t>
      </w:r>
      <w:r w:rsidR="00C41E53" w:rsidRPr="002C6614">
        <w:rPr>
          <w:color w:val="002060"/>
        </w:rPr>
        <w:t xml:space="preserve"> </w:t>
      </w:r>
      <w:r w:rsidR="00DB6E4E" w:rsidRPr="002C6614">
        <w:rPr>
          <w:color w:val="002060"/>
        </w:rPr>
        <w:t xml:space="preserve">quick </w:t>
      </w:r>
      <w:r w:rsidR="009B4DD7" w:rsidRPr="002C6614">
        <w:rPr>
          <w:color w:val="002060"/>
        </w:rPr>
        <w:t>l</w:t>
      </w:r>
      <w:r w:rsidR="00C41E53" w:rsidRPr="002C6614">
        <w:rPr>
          <w:color w:val="002060"/>
        </w:rPr>
        <w:t>ookup</w:t>
      </w:r>
      <w:bookmarkEnd w:id="10"/>
    </w:p>
    <w:p w14:paraId="73CF3A96" w14:textId="77777777" w:rsidR="00963989" w:rsidRPr="00C41E53" w:rsidRDefault="00963989" w:rsidP="00993767">
      <w:pPr>
        <w:pStyle w:val="ListBullet"/>
        <w:numPr>
          <w:ilvl w:val="0"/>
          <w:numId w:val="0"/>
        </w:numPr>
        <w:ind w:left="360" w:hanging="360"/>
        <w:rPr>
          <w:b/>
          <w:i/>
          <w:color w:val="002060"/>
        </w:rPr>
      </w:pPr>
      <w:r w:rsidRPr="00C41E53">
        <w:rPr>
          <w:b/>
          <w:i/>
          <w:color w:val="002060"/>
        </w:rPr>
        <w:t>Who can offer VET Student Loans?</w:t>
      </w:r>
    </w:p>
    <w:p w14:paraId="70078C8B" w14:textId="59D1F3CF" w:rsidR="0013581D" w:rsidRDefault="003B3ADD">
      <w:pPr>
        <w:pStyle w:val="ListBullet"/>
        <w:numPr>
          <w:ilvl w:val="0"/>
          <w:numId w:val="0"/>
        </w:numPr>
        <w:ind w:left="284"/>
      </w:pPr>
      <w:r w:rsidRPr="00C41E53">
        <w:t xml:space="preserve">Only registered training </w:t>
      </w:r>
      <w:r w:rsidR="00A975F3">
        <w:t>organisations</w:t>
      </w:r>
      <w:r w:rsidR="00A975F3" w:rsidRPr="00C41E53">
        <w:t xml:space="preserve"> </w:t>
      </w:r>
      <w:r w:rsidRPr="00C41E53">
        <w:t>that have been approved by the</w:t>
      </w:r>
      <w:r w:rsidR="00A975F3">
        <w:t xml:space="preserve"> Secretary of the</w:t>
      </w:r>
      <w:r w:rsidRPr="00C41E53">
        <w:t xml:space="preserve"> Department of Education and Training can offer VET Student Loans to eligible students.</w:t>
      </w:r>
      <w:r w:rsidR="00482210" w:rsidRPr="00C41E53">
        <w:t xml:space="preserve"> See ‘</w:t>
      </w:r>
      <w:hyperlink w:anchor="_3._Becoming_an" w:history="1">
        <w:r w:rsidR="00482210" w:rsidRPr="00C41E53">
          <w:rPr>
            <w:rStyle w:val="Hyperlink"/>
            <w:color w:val="002060"/>
          </w:rPr>
          <w:t>Becoming an approved course provider</w:t>
        </w:r>
      </w:hyperlink>
      <w:r w:rsidR="00482210" w:rsidRPr="00C41E53">
        <w:t>’.</w:t>
      </w:r>
    </w:p>
    <w:p w14:paraId="6CA79AAB" w14:textId="77777777" w:rsidR="007C3F21" w:rsidRDefault="007C3F21">
      <w:pPr>
        <w:pStyle w:val="ListBullet"/>
        <w:numPr>
          <w:ilvl w:val="0"/>
          <w:numId w:val="0"/>
        </w:numPr>
        <w:ind w:left="284"/>
      </w:pPr>
    </w:p>
    <w:p w14:paraId="22A4B482" w14:textId="77777777" w:rsidR="00347827" w:rsidRPr="002C6614" w:rsidRDefault="00347827">
      <w:pPr>
        <w:pStyle w:val="ListBullet"/>
        <w:numPr>
          <w:ilvl w:val="0"/>
          <w:numId w:val="0"/>
        </w:numPr>
        <w:rPr>
          <w:b/>
          <w:i/>
          <w:color w:val="002060"/>
        </w:rPr>
      </w:pPr>
      <w:r w:rsidRPr="002C6614">
        <w:rPr>
          <w:b/>
          <w:i/>
          <w:color w:val="002060"/>
        </w:rPr>
        <w:t>What is an eligible student?</w:t>
      </w:r>
    </w:p>
    <w:p w14:paraId="23ADB552" w14:textId="17846A9A" w:rsidR="00347827" w:rsidRDefault="00347827" w:rsidP="0028499D">
      <w:pPr>
        <w:pStyle w:val="ListBullet"/>
        <w:numPr>
          <w:ilvl w:val="0"/>
          <w:numId w:val="0"/>
        </w:numPr>
        <w:ind w:left="284"/>
      </w:pPr>
      <w:r w:rsidRPr="002C6614">
        <w:t xml:space="preserve">This is a student who meets all the </w:t>
      </w:r>
      <w:r w:rsidR="00A975F3" w:rsidRPr="002C6614">
        <w:t xml:space="preserve">eligibility </w:t>
      </w:r>
      <w:r w:rsidRPr="002C6614">
        <w:t xml:space="preserve">requirements under Part 2 Division 2 of the </w:t>
      </w:r>
      <w:r w:rsidRPr="002C6614">
        <w:rPr>
          <w:i/>
        </w:rPr>
        <w:t>VET</w:t>
      </w:r>
      <w:r w:rsidR="00F96FE3">
        <w:rPr>
          <w:i/>
        </w:rPr>
        <w:t> </w:t>
      </w:r>
      <w:r w:rsidRPr="002C6614">
        <w:rPr>
          <w:i/>
        </w:rPr>
        <w:t>Student Loans Act 2016</w:t>
      </w:r>
      <w:r w:rsidRPr="002C6614">
        <w:t>. See ‘</w:t>
      </w:r>
      <w:hyperlink w:anchor="_Eligibility" w:history="1">
        <w:r w:rsidRPr="002C6614">
          <w:rPr>
            <w:rStyle w:val="Hyperlink"/>
            <w:color w:val="002060"/>
          </w:rPr>
          <w:t>Student eligibility for VET Student Loans</w:t>
        </w:r>
      </w:hyperlink>
      <w:r w:rsidRPr="00C35B79">
        <w:t>’.</w:t>
      </w:r>
      <w:r w:rsidR="00DB6E4E" w:rsidRPr="00C35B79">
        <w:t xml:space="preserve"> See</w:t>
      </w:r>
      <w:r w:rsidR="00DB6E4E">
        <w:t xml:space="preserve"> also ‘</w:t>
      </w:r>
      <w:r w:rsidR="00C215E0" w:rsidRPr="00A5748D">
        <w:t>What is a ‘genuine student’?</w:t>
      </w:r>
      <w:r w:rsidR="00DB6E4E">
        <w:t>’</w:t>
      </w:r>
      <w:r w:rsidR="00C215E0">
        <w:t xml:space="preserve"> below.</w:t>
      </w:r>
    </w:p>
    <w:p w14:paraId="5A11D950" w14:textId="77777777" w:rsidR="00930AAE" w:rsidRPr="00C41E53" w:rsidRDefault="00930AAE" w:rsidP="0028499D">
      <w:pPr>
        <w:pStyle w:val="ListBullet"/>
        <w:numPr>
          <w:ilvl w:val="0"/>
          <w:numId w:val="0"/>
        </w:numPr>
        <w:ind w:left="284"/>
      </w:pPr>
    </w:p>
    <w:p w14:paraId="1DD42C47" w14:textId="54F1CA96" w:rsidR="00963989" w:rsidRPr="00C41E53" w:rsidRDefault="00963989" w:rsidP="00DA16F7">
      <w:pPr>
        <w:pStyle w:val="ListBullet"/>
        <w:numPr>
          <w:ilvl w:val="0"/>
          <w:numId w:val="0"/>
        </w:numPr>
        <w:ind w:left="360" w:hanging="360"/>
        <w:rPr>
          <w:b/>
          <w:i/>
        </w:rPr>
      </w:pPr>
      <w:r w:rsidRPr="00C41E53">
        <w:rPr>
          <w:b/>
          <w:i/>
          <w:color w:val="002060"/>
        </w:rPr>
        <w:t xml:space="preserve">What courses can a student </w:t>
      </w:r>
      <w:r w:rsidR="00A975F3">
        <w:rPr>
          <w:b/>
          <w:i/>
          <w:color w:val="002060"/>
        </w:rPr>
        <w:t xml:space="preserve">apply for </w:t>
      </w:r>
      <w:r w:rsidRPr="00C41E53">
        <w:rPr>
          <w:b/>
          <w:i/>
          <w:color w:val="002060"/>
        </w:rPr>
        <w:t xml:space="preserve">a </w:t>
      </w:r>
      <w:r w:rsidR="00A975F3">
        <w:rPr>
          <w:b/>
          <w:i/>
          <w:color w:val="002060"/>
        </w:rPr>
        <w:t xml:space="preserve">VET student </w:t>
      </w:r>
      <w:r w:rsidRPr="00C41E53">
        <w:rPr>
          <w:b/>
          <w:i/>
          <w:color w:val="002060"/>
        </w:rPr>
        <w:t>loan for?</w:t>
      </w:r>
    </w:p>
    <w:p w14:paraId="6FB3743C" w14:textId="7E22FE1A" w:rsidR="003B3ADD" w:rsidRPr="00C41E53" w:rsidRDefault="00F00D2E">
      <w:pPr>
        <w:pStyle w:val="ListBullet"/>
        <w:numPr>
          <w:ilvl w:val="0"/>
          <w:numId w:val="0"/>
        </w:numPr>
        <w:ind w:left="284"/>
      </w:pPr>
      <w:r w:rsidRPr="00C41E53">
        <w:t>Eligible students may only access a VET Student Loan for an approved course</w:t>
      </w:r>
      <w:r w:rsidR="00904923" w:rsidRPr="00C41E53">
        <w:t xml:space="preserve"> at an approved </w:t>
      </w:r>
      <w:r w:rsidR="00A975F3">
        <w:t xml:space="preserve">course </w:t>
      </w:r>
      <w:r w:rsidR="00904923" w:rsidRPr="00C41E53">
        <w:t xml:space="preserve">provider that has been approved to offer </w:t>
      </w:r>
      <w:r w:rsidR="00A975F3">
        <w:t>that</w:t>
      </w:r>
      <w:r w:rsidR="00904923" w:rsidRPr="00C41E53">
        <w:t xml:space="preserve"> particular</w:t>
      </w:r>
      <w:r w:rsidR="00A975F3">
        <w:t xml:space="preserve"> approved</w:t>
      </w:r>
      <w:r w:rsidR="00904923" w:rsidRPr="00C41E53">
        <w:t xml:space="preserve"> course</w:t>
      </w:r>
      <w:r w:rsidR="00482210" w:rsidRPr="00C41E53">
        <w:t>. See ‘</w:t>
      </w:r>
      <w:hyperlink w:anchor="_4.5_Approved_courses" w:history="1">
        <w:r w:rsidR="00482210" w:rsidRPr="00C41E53">
          <w:rPr>
            <w:rStyle w:val="Hyperlink"/>
            <w:color w:val="002060"/>
          </w:rPr>
          <w:t>Approved courses and loan cap</w:t>
        </w:r>
        <w:r w:rsidR="00482210" w:rsidRPr="00C41E53">
          <w:rPr>
            <w:rStyle w:val="Hyperlink"/>
            <w:color w:val="auto"/>
          </w:rPr>
          <w:t>s</w:t>
        </w:r>
      </w:hyperlink>
      <w:r w:rsidR="00482210" w:rsidRPr="00C41E53">
        <w:t xml:space="preserve">’. </w:t>
      </w:r>
      <w:r w:rsidR="00930AAE">
        <w:t xml:space="preserve">Different arrangements apply for full fee-paying and subsidised students. </w:t>
      </w:r>
    </w:p>
    <w:p w14:paraId="527F16D6" w14:textId="7FF6970F" w:rsidR="00904923" w:rsidRPr="00C41E53" w:rsidRDefault="00904923">
      <w:pPr>
        <w:pStyle w:val="ListBullet"/>
        <w:numPr>
          <w:ilvl w:val="0"/>
          <w:numId w:val="0"/>
        </w:numPr>
        <w:ind w:left="284"/>
      </w:pPr>
    </w:p>
    <w:p w14:paraId="709BDF17" w14:textId="77777777" w:rsidR="00963989" w:rsidRPr="00C41E53" w:rsidRDefault="00963989" w:rsidP="00DA16F7">
      <w:pPr>
        <w:pStyle w:val="ListBullet"/>
        <w:numPr>
          <w:ilvl w:val="0"/>
          <w:numId w:val="0"/>
        </w:numPr>
        <w:ind w:left="360" w:hanging="360"/>
        <w:rPr>
          <w:b/>
          <w:i/>
          <w:color w:val="002060"/>
        </w:rPr>
      </w:pPr>
      <w:r w:rsidRPr="00C41E53">
        <w:rPr>
          <w:b/>
          <w:i/>
          <w:color w:val="002060"/>
        </w:rPr>
        <w:t>What is a unit of study?</w:t>
      </w:r>
    </w:p>
    <w:p w14:paraId="26CA5CE9" w14:textId="7A20D999" w:rsidR="0013581D" w:rsidRPr="00C41E53" w:rsidRDefault="000D7ED5">
      <w:pPr>
        <w:pStyle w:val="ListBullet"/>
        <w:numPr>
          <w:ilvl w:val="0"/>
          <w:numId w:val="0"/>
        </w:numPr>
        <w:ind w:left="284"/>
      </w:pPr>
      <w:r w:rsidRPr="00C41E53">
        <w:t>A unit of study may comprise a group of units of competency or one unit of study may equal one unit of competency.</w:t>
      </w:r>
      <w:r w:rsidR="0013581D" w:rsidRPr="00C41E53">
        <w:t xml:space="preserve"> Many rules apply </w:t>
      </w:r>
      <w:r w:rsidR="00A975F3">
        <w:t>to providers in respect of units of study</w:t>
      </w:r>
      <w:r w:rsidR="0013581D" w:rsidRPr="00C41E53">
        <w:t xml:space="preserve"> such as</w:t>
      </w:r>
      <w:r w:rsidR="00A965A1">
        <w:t xml:space="preserve"> </w:t>
      </w:r>
      <w:hyperlink w:anchor="_4.9.1__" w:history="1">
        <w:r w:rsidR="00930AAE">
          <w:rPr>
            <w:rStyle w:val="Hyperlink"/>
          </w:rPr>
          <w:t>d</w:t>
        </w:r>
        <w:r w:rsidR="00A965A1" w:rsidRPr="00A965A1">
          <w:rPr>
            <w:rStyle w:val="Hyperlink"/>
          </w:rPr>
          <w:t>etermining census days</w:t>
        </w:r>
      </w:hyperlink>
      <w:r w:rsidR="00A965A1">
        <w:t xml:space="preserve">, </w:t>
      </w:r>
      <w:hyperlink w:anchor="_Providing_and_publishing_1" w:history="1">
        <w:r w:rsidR="0013581D" w:rsidRPr="00C41E53">
          <w:rPr>
            <w:rStyle w:val="Hyperlink"/>
            <w:color w:val="002060"/>
          </w:rPr>
          <w:t>publishing fees</w:t>
        </w:r>
      </w:hyperlink>
      <w:r w:rsidR="0013581D" w:rsidRPr="00C41E53">
        <w:t xml:space="preserve">, </w:t>
      </w:r>
      <w:hyperlink w:anchor="_4.11_Provision_of" w:history="1">
        <w:r w:rsidR="0013581D" w:rsidRPr="00C41E53">
          <w:rPr>
            <w:rStyle w:val="Hyperlink"/>
            <w:color w:val="002060"/>
          </w:rPr>
          <w:t>issuing notices</w:t>
        </w:r>
      </w:hyperlink>
      <w:r w:rsidR="0013581D" w:rsidRPr="00C41E53">
        <w:t xml:space="preserve">, </w:t>
      </w:r>
      <w:hyperlink w:anchor="_4.14_Data_reporting" w:history="1">
        <w:r w:rsidR="0013581D" w:rsidRPr="00C41E53">
          <w:rPr>
            <w:rStyle w:val="Hyperlink"/>
            <w:color w:val="002060"/>
          </w:rPr>
          <w:t>reporting fees and completion</w:t>
        </w:r>
        <w:r w:rsidR="0013581D" w:rsidRPr="00C41E53">
          <w:rPr>
            <w:rStyle w:val="Hyperlink"/>
            <w:color w:val="auto"/>
          </w:rPr>
          <w:t>s</w:t>
        </w:r>
      </w:hyperlink>
      <w:r w:rsidR="0013581D" w:rsidRPr="00C41E53">
        <w:t xml:space="preserve">, and </w:t>
      </w:r>
      <w:hyperlink w:anchor="_4.8.6__" w:history="1">
        <w:r w:rsidR="0013581D" w:rsidRPr="00C41E53">
          <w:rPr>
            <w:rStyle w:val="Hyperlink"/>
            <w:color w:val="002060"/>
          </w:rPr>
          <w:t>withdrawal</w:t>
        </w:r>
      </w:hyperlink>
      <w:r w:rsidR="0013581D" w:rsidRPr="00C41E53">
        <w:t xml:space="preserve"> and </w:t>
      </w:r>
      <w:hyperlink w:anchor="_Toc339446938" w:history="1">
        <w:r w:rsidR="0013581D" w:rsidRPr="00C41E53">
          <w:rPr>
            <w:rStyle w:val="Hyperlink"/>
            <w:color w:val="002060"/>
          </w:rPr>
          <w:t>penalty provisions</w:t>
        </w:r>
      </w:hyperlink>
      <w:r w:rsidR="0013581D" w:rsidRPr="00C41E53">
        <w:t>.</w:t>
      </w:r>
    </w:p>
    <w:p w14:paraId="3C5B0B52" w14:textId="77777777" w:rsidR="000D7ED5" w:rsidRPr="00C41E53" w:rsidRDefault="000D7ED5" w:rsidP="00DA16F7">
      <w:pPr>
        <w:pStyle w:val="ListBullet"/>
        <w:numPr>
          <w:ilvl w:val="0"/>
          <w:numId w:val="0"/>
        </w:numPr>
        <w:ind w:left="360" w:hanging="76"/>
        <w:rPr>
          <w:color w:val="002060"/>
        </w:rPr>
      </w:pPr>
    </w:p>
    <w:p w14:paraId="0BCE16DE" w14:textId="77777777" w:rsidR="000D7ED5" w:rsidRPr="00C41E53" w:rsidRDefault="000D7ED5">
      <w:pPr>
        <w:pStyle w:val="ListBullet"/>
        <w:numPr>
          <w:ilvl w:val="0"/>
          <w:numId w:val="0"/>
        </w:numPr>
        <w:rPr>
          <w:b/>
          <w:i/>
          <w:color w:val="002060"/>
        </w:rPr>
      </w:pPr>
      <w:r w:rsidRPr="00C41E53">
        <w:rPr>
          <w:b/>
          <w:i/>
          <w:color w:val="002060"/>
        </w:rPr>
        <w:t>What is a census da</w:t>
      </w:r>
      <w:r w:rsidR="00904923" w:rsidRPr="00C41E53">
        <w:rPr>
          <w:b/>
          <w:i/>
          <w:color w:val="002060"/>
        </w:rPr>
        <w:t>y</w:t>
      </w:r>
      <w:r w:rsidRPr="00C41E53">
        <w:rPr>
          <w:b/>
          <w:i/>
          <w:color w:val="002060"/>
        </w:rPr>
        <w:t>?</w:t>
      </w:r>
    </w:p>
    <w:p w14:paraId="242EA974" w14:textId="2D8F18CC" w:rsidR="0013581D" w:rsidRPr="00C41E53" w:rsidRDefault="009448C6">
      <w:pPr>
        <w:pStyle w:val="ListBullet"/>
        <w:numPr>
          <w:ilvl w:val="0"/>
          <w:numId w:val="0"/>
        </w:numPr>
        <w:ind w:left="284"/>
      </w:pPr>
      <w:r>
        <w:t>The day</w:t>
      </w:r>
      <w:r w:rsidR="0013581D" w:rsidRPr="00C41E53">
        <w:t xml:space="preserve"> the student</w:t>
      </w:r>
      <w:r w:rsidR="00930AAE">
        <w:t xml:space="preserve"> incurs</w:t>
      </w:r>
      <w:r w:rsidR="0013581D" w:rsidRPr="00C41E53">
        <w:t xml:space="preserve"> financial liability for the unit</w:t>
      </w:r>
      <w:r w:rsidR="00A975F3">
        <w:t xml:space="preserve"> of study</w:t>
      </w:r>
      <w:r w:rsidR="0013581D" w:rsidRPr="00C41E53">
        <w:t>.</w:t>
      </w:r>
      <w:r w:rsidR="00482210" w:rsidRPr="00C41E53">
        <w:t xml:space="preserve"> </w:t>
      </w:r>
      <w:r w:rsidR="00132E0D">
        <w:t xml:space="preserve">Students may </w:t>
      </w:r>
      <w:r w:rsidR="00132E0D">
        <w:rPr>
          <w:rFonts w:cstheme="minorHAnsi"/>
        </w:rPr>
        <w:t xml:space="preserve">cancel their </w:t>
      </w:r>
      <w:r w:rsidR="00132E0D" w:rsidRPr="0050179D">
        <w:rPr>
          <w:rFonts w:cstheme="minorHAnsi"/>
        </w:rPr>
        <w:t xml:space="preserve">enrolment </w:t>
      </w:r>
      <w:r w:rsidR="00A91644">
        <w:rPr>
          <w:rFonts w:cstheme="minorHAnsi"/>
        </w:rPr>
        <w:t xml:space="preserve">by the census day </w:t>
      </w:r>
      <w:r w:rsidR="00132E0D" w:rsidRPr="0050179D">
        <w:rPr>
          <w:rFonts w:cstheme="minorHAnsi"/>
        </w:rPr>
        <w:t>without incurring tuition fees (or a HELP or VET Student Loans debt) for the course or the part of the course</w:t>
      </w:r>
      <w:r w:rsidR="00A91644">
        <w:rPr>
          <w:rFonts w:cstheme="minorHAnsi"/>
        </w:rPr>
        <w:t xml:space="preserve">. </w:t>
      </w:r>
      <w:r w:rsidR="00904923" w:rsidRPr="00C41E53">
        <w:t>See ‘</w:t>
      </w:r>
      <w:hyperlink w:anchor="_4.9_Census_Days" w:history="1">
        <w:r w:rsidR="00904923" w:rsidRPr="00C41E53">
          <w:rPr>
            <w:rStyle w:val="Hyperlink"/>
            <w:color w:val="002060"/>
          </w:rPr>
          <w:t>Census days</w:t>
        </w:r>
      </w:hyperlink>
      <w:r w:rsidR="00904923" w:rsidRPr="00C41E53">
        <w:t>’.</w:t>
      </w:r>
    </w:p>
    <w:p w14:paraId="2D2780E9" w14:textId="77777777" w:rsidR="006521AD" w:rsidRPr="00A41C46" w:rsidRDefault="006521AD">
      <w:pPr>
        <w:pStyle w:val="ListBullet"/>
        <w:numPr>
          <w:ilvl w:val="0"/>
          <w:numId w:val="0"/>
        </w:numPr>
        <w:rPr>
          <w:b/>
        </w:rPr>
      </w:pPr>
    </w:p>
    <w:p w14:paraId="5F894635" w14:textId="77777777" w:rsidR="00963989" w:rsidRPr="00C41E53" w:rsidRDefault="000D7ED5">
      <w:pPr>
        <w:pStyle w:val="ListBullet"/>
        <w:numPr>
          <w:ilvl w:val="0"/>
          <w:numId w:val="0"/>
        </w:numPr>
        <w:rPr>
          <w:b/>
          <w:i/>
          <w:color w:val="002060"/>
        </w:rPr>
      </w:pPr>
      <w:r w:rsidRPr="00243885">
        <w:rPr>
          <w:b/>
          <w:i/>
          <w:color w:val="002060"/>
        </w:rPr>
        <w:t xml:space="preserve">What is a </w:t>
      </w:r>
      <w:r w:rsidR="006521AD" w:rsidRPr="00C41E53">
        <w:rPr>
          <w:b/>
          <w:i/>
          <w:color w:val="002060"/>
        </w:rPr>
        <w:t xml:space="preserve">course </w:t>
      </w:r>
      <w:r w:rsidRPr="00243885">
        <w:rPr>
          <w:b/>
          <w:i/>
          <w:color w:val="002060"/>
        </w:rPr>
        <w:t>loan cap</w:t>
      </w:r>
      <w:r w:rsidR="0078589D" w:rsidRPr="00243885">
        <w:rPr>
          <w:b/>
          <w:i/>
          <w:color w:val="002060"/>
        </w:rPr>
        <w:t>?</w:t>
      </w:r>
    </w:p>
    <w:p w14:paraId="305737BF" w14:textId="77FCA3E9" w:rsidR="006521AD" w:rsidRPr="00243885" w:rsidRDefault="006521AD">
      <w:pPr>
        <w:pStyle w:val="ListBullet"/>
        <w:numPr>
          <w:ilvl w:val="0"/>
          <w:numId w:val="0"/>
        </w:numPr>
        <w:ind w:left="284"/>
      </w:pPr>
      <w:r w:rsidRPr="00C41E53">
        <w:t>This</w:t>
      </w:r>
      <w:r w:rsidR="004B26B8">
        <w:t xml:space="preserve"> is</w:t>
      </w:r>
      <w:r w:rsidRPr="00C41E53">
        <w:t xml:space="preserve"> the total amount of loan an eligible student may access for a particular course.</w:t>
      </w:r>
      <w:r w:rsidRPr="00243885">
        <w:t xml:space="preserve"> </w:t>
      </w:r>
    </w:p>
    <w:p w14:paraId="1D0261B9" w14:textId="77777777" w:rsidR="003B3ADD" w:rsidRDefault="006521AD">
      <w:pPr>
        <w:pStyle w:val="ListBullet"/>
        <w:numPr>
          <w:ilvl w:val="0"/>
          <w:numId w:val="0"/>
        </w:numPr>
        <w:ind w:left="284"/>
      </w:pPr>
      <w:r w:rsidRPr="00243885">
        <w:t>See ‘</w:t>
      </w:r>
      <w:hyperlink w:anchor="_4.5.4__" w:history="1">
        <w:r w:rsidRPr="00C41E53">
          <w:rPr>
            <w:rStyle w:val="Hyperlink"/>
            <w:color w:val="002060"/>
          </w:rPr>
          <w:t>Loan cap</w:t>
        </w:r>
        <w:r w:rsidRPr="00243885">
          <w:rPr>
            <w:rStyle w:val="Hyperlink"/>
            <w:color w:val="auto"/>
          </w:rPr>
          <w:t>s</w:t>
        </w:r>
      </w:hyperlink>
      <w:r w:rsidRPr="00243885">
        <w:t xml:space="preserve">’. </w:t>
      </w:r>
    </w:p>
    <w:p w14:paraId="5FE6756B" w14:textId="77777777" w:rsidR="00D2391A" w:rsidRDefault="00D2391A">
      <w:pPr>
        <w:pStyle w:val="ListBullet"/>
        <w:numPr>
          <w:ilvl w:val="0"/>
          <w:numId w:val="0"/>
        </w:numPr>
        <w:ind w:left="284"/>
      </w:pPr>
    </w:p>
    <w:p w14:paraId="27336ECD" w14:textId="77777777" w:rsidR="00A37BD5" w:rsidRPr="00A41C46" w:rsidRDefault="00A37BD5">
      <w:pPr>
        <w:pStyle w:val="ListBullet"/>
        <w:numPr>
          <w:ilvl w:val="0"/>
          <w:numId w:val="0"/>
        </w:numPr>
        <w:rPr>
          <w:b/>
          <w:i/>
          <w:color w:val="002060"/>
        </w:rPr>
      </w:pPr>
      <w:r w:rsidRPr="00A41C46">
        <w:rPr>
          <w:b/>
          <w:i/>
          <w:color w:val="002060"/>
        </w:rPr>
        <w:t>What are ‘covered fees’?</w:t>
      </w:r>
    </w:p>
    <w:p w14:paraId="7B2E7BA5" w14:textId="45DD9B57" w:rsidR="00A37BD5" w:rsidRPr="00A41C46" w:rsidRDefault="00A37BD5">
      <w:pPr>
        <w:pStyle w:val="ListBullet"/>
        <w:numPr>
          <w:ilvl w:val="0"/>
          <w:numId w:val="0"/>
        </w:numPr>
        <w:ind w:left="284"/>
      </w:pPr>
      <w:r w:rsidRPr="00A41C46">
        <w:t xml:space="preserve">The amount of the </w:t>
      </w:r>
      <w:r w:rsidR="004B26B8">
        <w:t xml:space="preserve">course </w:t>
      </w:r>
      <w:r w:rsidRPr="00A41C46">
        <w:t>tuition fee</w:t>
      </w:r>
      <w:r w:rsidR="00A975F3">
        <w:t>s</w:t>
      </w:r>
      <w:r w:rsidRPr="00A41C46">
        <w:t xml:space="preserve"> </w:t>
      </w:r>
      <w:r w:rsidR="004B26B8">
        <w:t xml:space="preserve">to be </w:t>
      </w:r>
      <w:r w:rsidRPr="00A41C46">
        <w:t xml:space="preserve">covered by </w:t>
      </w:r>
      <w:r w:rsidR="004B26B8">
        <w:t>a</w:t>
      </w:r>
      <w:r w:rsidR="00A975F3">
        <w:t xml:space="preserve"> VET student</w:t>
      </w:r>
      <w:r w:rsidR="004B26B8">
        <w:t xml:space="preserve"> </w:t>
      </w:r>
      <w:r w:rsidRPr="00A41C46">
        <w:t>loan.</w:t>
      </w:r>
      <w:r w:rsidR="00A975F3">
        <w:t xml:space="preserve"> This will be set out on the student’s VET Student Loans Statement of Covered Fees.</w:t>
      </w:r>
    </w:p>
    <w:p w14:paraId="414A6C97" w14:textId="77777777" w:rsidR="00A37BD5" w:rsidRPr="00A41C46" w:rsidRDefault="00A37BD5" w:rsidP="00DA16F7">
      <w:pPr>
        <w:pStyle w:val="ListBullet"/>
        <w:numPr>
          <w:ilvl w:val="0"/>
          <w:numId w:val="0"/>
        </w:numPr>
        <w:ind w:left="360" w:hanging="360"/>
      </w:pPr>
    </w:p>
    <w:p w14:paraId="5F34BC3D" w14:textId="77777777" w:rsidR="00A37BD5" w:rsidRPr="00A41C46" w:rsidRDefault="00A37BD5">
      <w:pPr>
        <w:pStyle w:val="ListBullet"/>
        <w:numPr>
          <w:ilvl w:val="0"/>
          <w:numId w:val="0"/>
        </w:numPr>
        <w:rPr>
          <w:b/>
          <w:i/>
          <w:color w:val="002060"/>
        </w:rPr>
      </w:pPr>
      <w:r w:rsidRPr="00A41C46">
        <w:rPr>
          <w:b/>
          <w:i/>
          <w:color w:val="002060"/>
        </w:rPr>
        <w:t>What is a tuition fee?</w:t>
      </w:r>
    </w:p>
    <w:p w14:paraId="052652C5" w14:textId="05905430" w:rsidR="006521AD" w:rsidRDefault="00A37BD5">
      <w:pPr>
        <w:pStyle w:val="ListBullet"/>
        <w:numPr>
          <w:ilvl w:val="0"/>
          <w:numId w:val="0"/>
        </w:numPr>
        <w:ind w:left="284"/>
      </w:pPr>
      <w:r w:rsidRPr="00A41C46">
        <w:t xml:space="preserve">The </w:t>
      </w:r>
      <w:r w:rsidR="004B26B8">
        <w:t xml:space="preserve">total fees for the course (including the </w:t>
      </w:r>
      <w:r w:rsidRPr="00A41C46">
        <w:t>covered fee</w:t>
      </w:r>
      <w:r w:rsidR="00A975F3">
        <w:t>s</w:t>
      </w:r>
      <w:r w:rsidRPr="00A41C46">
        <w:t xml:space="preserve"> plus any </w:t>
      </w:r>
      <w:hyperlink w:anchor="_4.5.5__" w:history="1">
        <w:r w:rsidRPr="00A41C46">
          <w:t>gap fee</w:t>
        </w:r>
      </w:hyperlink>
      <w:r w:rsidR="004B26B8">
        <w:t>)</w:t>
      </w:r>
      <w:r w:rsidR="00F25620">
        <w:t>. See ‘</w:t>
      </w:r>
      <w:hyperlink w:anchor="_Determining_tuition_fees_1" w:history="1">
        <w:r w:rsidR="00F25620" w:rsidRPr="00F25620">
          <w:rPr>
            <w:rStyle w:val="Hyperlink"/>
          </w:rPr>
          <w:t>Determining tuition fees</w:t>
        </w:r>
      </w:hyperlink>
      <w:r w:rsidR="00F25620">
        <w:t>’</w:t>
      </w:r>
      <w:r w:rsidR="009448C6">
        <w:t xml:space="preserve">. </w:t>
      </w:r>
    </w:p>
    <w:p w14:paraId="2A42048B" w14:textId="77777777" w:rsidR="009448C6" w:rsidRDefault="009448C6" w:rsidP="00DA16F7">
      <w:pPr>
        <w:pStyle w:val="ListBullet"/>
        <w:numPr>
          <w:ilvl w:val="0"/>
          <w:numId w:val="0"/>
        </w:numPr>
        <w:ind w:left="360" w:hanging="360"/>
      </w:pPr>
    </w:p>
    <w:p w14:paraId="41B50C15" w14:textId="77777777" w:rsidR="009448C6" w:rsidRPr="00A41C46" w:rsidRDefault="009448C6">
      <w:pPr>
        <w:pStyle w:val="ListBullet"/>
        <w:numPr>
          <w:ilvl w:val="0"/>
          <w:numId w:val="0"/>
        </w:numPr>
        <w:rPr>
          <w:b/>
          <w:i/>
          <w:color w:val="002060"/>
        </w:rPr>
      </w:pPr>
      <w:r w:rsidRPr="00A41C46">
        <w:rPr>
          <w:b/>
          <w:i/>
          <w:color w:val="002060"/>
        </w:rPr>
        <w:t>What is a gap fee?</w:t>
      </w:r>
    </w:p>
    <w:p w14:paraId="599D5553" w14:textId="2379F1EE" w:rsidR="009448C6" w:rsidRDefault="009448C6">
      <w:pPr>
        <w:pStyle w:val="ListBullet"/>
        <w:numPr>
          <w:ilvl w:val="0"/>
          <w:numId w:val="0"/>
        </w:numPr>
        <w:ind w:left="284"/>
      </w:pPr>
      <w:r w:rsidRPr="00A41C46">
        <w:t>The difference between the</w:t>
      </w:r>
      <w:r w:rsidR="004B26B8">
        <w:t xml:space="preserve"> </w:t>
      </w:r>
      <w:r w:rsidRPr="00A41C46">
        <w:t>covered fee</w:t>
      </w:r>
      <w:r w:rsidR="00A975F3">
        <w:t>s</w:t>
      </w:r>
      <w:r w:rsidRPr="00A41C46">
        <w:t xml:space="preserve"> and the </w:t>
      </w:r>
      <w:r w:rsidR="004B26B8">
        <w:t xml:space="preserve">total </w:t>
      </w:r>
      <w:r w:rsidRPr="00A41C46">
        <w:t>tuition fee for a course.</w:t>
      </w:r>
      <w:r>
        <w:t xml:space="preserve"> See ‘</w:t>
      </w:r>
      <w:hyperlink w:anchor="_4.5.5__" w:history="1">
        <w:r w:rsidRPr="00A41C46">
          <w:rPr>
            <w:rStyle w:val="Hyperlink"/>
          </w:rPr>
          <w:t>Gap fee</w:t>
        </w:r>
        <w:r w:rsidRPr="009448C6">
          <w:rPr>
            <w:rStyle w:val="Hyperlink"/>
          </w:rPr>
          <w:t>s</w:t>
        </w:r>
      </w:hyperlink>
      <w:r>
        <w:t>’</w:t>
      </w:r>
      <w:r w:rsidRPr="007C1EC3">
        <w:t>.</w:t>
      </w:r>
    </w:p>
    <w:p w14:paraId="03DF26E0" w14:textId="77777777" w:rsidR="009448C6" w:rsidRPr="00A41C46" w:rsidRDefault="009448C6">
      <w:pPr>
        <w:pStyle w:val="ListBullet"/>
        <w:numPr>
          <w:ilvl w:val="0"/>
          <w:numId w:val="0"/>
        </w:numPr>
      </w:pPr>
    </w:p>
    <w:p w14:paraId="22E30B0F" w14:textId="5FEAC39B" w:rsidR="000D7ED5" w:rsidRPr="00243885" w:rsidRDefault="000D7ED5">
      <w:pPr>
        <w:pStyle w:val="ListBullet"/>
        <w:numPr>
          <w:ilvl w:val="0"/>
          <w:numId w:val="0"/>
        </w:numPr>
        <w:rPr>
          <w:b/>
          <w:i/>
          <w:color w:val="002060"/>
        </w:rPr>
      </w:pPr>
      <w:r w:rsidRPr="00243885">
        <w:rPr>
          <w:b/>
          <w:i/>
          <w:color w:val="002060"/>
        </w:rPr>
        <w:t xml:space="preserve">What </w:t>
      </w:r>
      <w:r w:rsidR="00347827">
        <w:rPr>
          <w:b/>
          <w:i/>
          <w:color w:val="002060"/>
        </w:rPr>
        <w:t>are</w:t>
      </w:r>
      <w:r w:rsidRPr="00243885">
        <w:rPr>
          <w:b/>
          <w:i/>
          <w:color w:val="002060"/>
        </w:rPr>
        <w:t xml:space="preserve"> fee period</w:t>
      </w:r>
      <w:r w:rsidR="00347827">
        <w:rPr>
          <w:b/>
          <w:i/>
          <w:color w:val="002060"/>
        </w:rPr>
        <w:t>s</w:t>
      </w:r>
      <w:r w:rsidRPr="00243885">
        <w:rPr>
          <w:b/>
          <w:i/>
          <w:color w:val="002060"/>
        </w:rPr>
        <w:t>?</w:t>
      </w:r>
    </w:p>
    <w:p w14:paraId="7B2C1450" w14:textId="7A532C81" w:rsidR="00482210" w:rsidRPr="00243885" w:rsidRDefault="0013581D">
      <w:pPr>
        <w:pStyle w:val="ListBullet"/>
        <w:numPr>
          <w:ilvl w:val="0"/>
          <w:numId w:val="0"/>
        </w:numPr>
        <w:ind w:left="284"/>
      </w:pPr>
      <w:r w:rsidRPr="00243885">
        <w:t>The tuit</w:t>
      </w:r>
      <w:r w:rsidR="0078589D" w:rsidRPr="00243885">
        <w:t>ion fees for the course must be</w:t>
      </w:r>
      <w:r w:rsidRPr="00243885">
        <w:t xml:space="preserve"> reasonably and proportionately distributed across at least three </w:t>
      </w:r>
      <w:r w:rsidR="004B26B8">
        <w:t xml:space="preserve">sequential </w:t>
      </w:r>
      <w:r w:rsidRPr="00243885">
        <w:t>fee periods</w:t>
      </w:r>
      <w:r w:rsidR="00A975F3">
        <w:t>. Each fee period must contain at least one census day.</w:t>
      </w:r>
      <w:r w:rsidRPr="00243885">
        <w:t xml:space="preserve"> </w:t>
      </w:r>
      <w:r w:rsidR="00A975F3">
        <w:t>T</w:t>
      </w:r>
      <w:r w:rsidRPr="00243885">
        <w:t>herefore</w:t>
      </w:r>
      <w:r w:rsidR="00A975F3">
        <w:t xml:space="preserve"> there will be</w:t>
      </w:r>
      <w:r w:rsidRPr="00243885">
        <w:t xml:space="preserve"> at least three census days/three units over the course.</w:t>
      </w:r>
      <w:r w:rsidR="00482210" w:rsidRPr="00243885">
        <w:t xml:space="preserve"> </w:t>
      </w:r>
    </w:p>
    <w:p w14:paraId="65144768" w14:textId="77777777" w:rsidR="0013581D" w:rsidRPr="00243885" w:rsidRDefault="00482210">
      <w:pPr>
        <w:pStyle w:val="ListBullet"/>
        <w:numPr>
          <w:ilvl w:val="0"/>
          <w:numId w:val="0"/>
        </w:numPr>
        <w:ind w:left="284"/>
      </w:pPr>
      <w:r w:rsidRPr="00243885">
        <w:t>See ‘</w:t>
      </w:r>
      <w:hyperlink w:anchor="_Fee_periods_1" w:history="1">
        <w:r w:rsidRPr="00243885">
          <w:rPr>
            <w:rStyle w:val="Hyperlink"/>
            <w:color w:val="002060"/>
          </w:rPr>
          <w:t>Fee periods</w:t>
        </w:r>
      </w:hyperlink>
      <w:r w:rsidRPr="00243885">
        <w:t>’.</w:t>
      </w:r>
    </w:p>
    <w:p w14:paraId="7F37CA2A" w14:textId="230B559B" w:rsidR="002C6614" w:rsidRDefault="002C6614">
      <w:pPr>
        <w:spacing w:line="276" w:lineRule="auto"/>
      </w:pPr>
      <w:r>
        <w:br w:type="page"/>
      </w:r>
    </w:p>
    <w:p w14:paraId="1A53BC73" w14:textId="77777777" w:rsidR="000D7ED5" w:rsidRPr="00243885" w:rsidRDefault="000D7ED5">
      <w:pPr>
        <w:pStyle w:val="ListBullet"/>
        <w:numPr>
          <w:ilvl w:val="0"/>
          <w:numId w:val="0"/>
        </w:numPr>
        <w:rPr>
          <w:b/>
          <w:i/>
          <w:color w:val="002060"/>
        </w:rPr>
      </w:pPr>
      <w:r w:rsidRPr="00243885">
        <w:rPr>
          <w:b/>
          <w:i/>
          <w:color w:val="002060"/>
        </w:rPr>
        <w:lastRenderedPageBreak/>
        <w:t>What is the provider fee limit?</w:t>
      </w:r>
    </w:p>
    <w:p w14:paraId="19713FC0" w14:textId="4C5EEA2C" w:rsidR="000D7ED5" w:rsidRDefault="004B26B8" w:rsidP="00DA16F7">
      <w:pPr>
        <w:pStyle w:val="ListBullet"/>
        <w:numPr>
          <w:ilvl w:val="0"/>
          <w:numId w:val="0"/>
        </w:numPr>
        <w:ind w:left="360"/>
      </w:pPr>
      <w:r>
        <w:t>T</w:t>
      </w:r>
      <w:r w:rsidR="00482210" w:rsidRPr="00243885">
        <w:t>he</w:t>
      </w:r>
      <w:r w:rsidR="009236E6" w:rsidRPr="00243885">
        <w:t xml:space="preserve"> maximum dollar amount for VET Student Loans that can be paid to an approved course provider for a particular period of time and/or for particular approved course(s). See ‘</w:t>
      </w:r>
      <w:hyperlink w:anchor="_5.1_Provider_fee" w:history="1">
        <w:r w:rsidR="009236E6" w:rsidRPr="00243885">
          <w:rPr>
            <w:rStyle w:val="Hyperlink"/>
            <w:color w:val="002060"/>
          </w:rPr>
          <w:t>Provider fee limit</w:t>
        </w:r>
      </w:hyperlink>
      <w:r w:rsidR="009236E6" w:rsidRPr="00243885">
        <w:t>’.</w:t>
      </w:r>
    </w:p>
    <w:p w14:paraId="28A77687" w14:textId="77777777" w:rsidR="00243885" w:rsidRDefault="00243885" w:rsidP="00DA16F7">
      <w:pPr>
        <w:pStyle w:val="ListBullet"/>
        <w:numPr>
          <w:ilvl w:val="0"/>
          <w:numId w:val="0"/>
        </w:numPr>
        <w:ind w:left="360"/>
      </w:pPr>
    </w:p>
    <w:p w14:paraId="3B7AE159" w14:textId="406224C4" w:rsidR="00243885" w:rsidRDefault="00243885" w:rsidP="0028499D">
      <w:pPr>
        <w:pStyle w:val="ListBullet"/>
        <w:keepNext/>
        <w:keepLines/>
        <w:numPr>
          <w:ilvl w:val="0"/>
          <w:numId w:val="0"/>
        </w:numPr>
        <w:rPr>
          <w:b/>
          <w:i/>
          <w:color w:val="002060"/>
        </w:rPr>
      </w:pPr>
      <w:r w:rsidRPr="00243885">
        <w:rPr>
          <w:b/>
          <w:i/>
          <w:color w:val="002060"/>
        </w:rPr>
        <w:t>What is the FEE-HELP limit</w:t>
      </w:r>
      <w:r w:rsidR="0048492C">
        <w:rPr>
          <w:b/>
          <w:i/>
          <w:color w:val="002060"/>
        </w:rPr>
        <w:t>?</w:t>
      </w:r>
    </w:p>
    <w:p w14:paraId="7423F808" w14:textId="704A8428" w:rsidR="009B4DD7" w:rsidRDefault="009B4DD7">
      <w:pPr>
        <w:pStyle w:val="ListBullet"/>
        <w:numPr>
          <w:ilvl w:val="0"/>
          <w:numId w:val="0"/>
        </w:numPr>
        <w:ind w:left="284"/>
      </w:pPr>
      <w:r>
        <w:t>The</w:t>
      </w:r>
      <w:r w:rsidRPr="00736F23">
        <w:t xml:space="preserve"> maximum amount a person can borrow over their lifetime for VET Student Loans</w:t>
      </w:r>
      <w:r>
        <w:t>, VET FEE</w:t>
      </w:r>
      <w:r w:rsidR="00DB6E4E">
        <w:noBreakHyphen/>
      </w:r>
      <w:r>
        <w:t>HELP</w:t>
      </w:r>
      <w:r w:rsidRPr="00736F23">
        <w:t xml:space="preserve"> and FEE-HELP.</w:t>
      </w:r>
      <w:r>
        <w:t xml:space="preserve"> See ‘</w:t>
      </w:r>
      <w:hyperlink w:anchor="_FEE-HELP_limit" w:history="1">
        <w:r w:rsidRPr="009B4DD7">
          <w:rPr>
            <w:rStyle w:val="Hyperlink"/>
          </w:rPr>
          <w:t>F</w:t>
        </w:r>
        <w:r w:rsidR="00F25620">
          <w:rPr>
            <w:rStyle w:val="Hyperlink"/>
          </w:rPr>
          <w:t>EE-</w:t>
        </w:r>
        <w:r w:rsidRPr="009B4DD7">
          <w:rPr>
            <w:rStyle w:val="Hyperlink"/>
          </w:rPr>
          <w:t>HELP limit</w:t>
        </w:r>
      </w:hyperlink>
      <w:r>
        <w:t xml:space="preserve">’. </w:t>
      </w:r>
    </w:p>
    <w:p w14:paraId="1E48BF6D" w14:textId="77777777" w:rsidR="00240A7F" w:rsidRDefault="00240A7F" w:rsidP="007A3D2B">
      <w:pPr>
        <w:pStyle w:val="ListBullet"/>
        <w:numPr>
          <w:ilvl w:val="0"/>
          <w:numId w:val="0"/>
        </w:numPr>
        <w:rPr>
          <w:b/>
          <w:i/>
          <w:color w:val="002060"/>
        </w:rPr>
      </w:pPr>
    </w:p>
    <w:p w14:paraId="15AB8ABC" w14:textId="41095683" w:rsidR="009B4DD7" w:rsidRPr="00A41C46" w:rsidRDefault="009B4DD7" w:rsidP="007A3D2B">
      <w:pPr>
        <w:pStyle w:val="ListBullet"/>
        <w:numPr>
          <w:ilvl w:val="0"/>
          <w:numId w:val="0"/>
        </w:numPr>
        <w:rPr>
          <w:b/>
          <w:i/>
          <w:color w:val="002060"/>
        </w:rPr>
      </w:pPr>
      <w:r w:rsidRPr="00A41C46">
        <w:rPr>
          <w:b/>
          <w:i/>
          <w:color w:val="002060"/>
        </w:rPr>
        <w:t>What is the FEE-HELP balance?</w:t>
      </w:r>
    </w:p>
    <w:p w14:paraId="70F60A03" w14:textId="77777777" w:rsidR="009B4DD7" w:rsidRDefault="009B4DD7">
      <w:pPr>
        <w:pStyle w:val="ListBullet"/>
        <w:numPr>
          <w:ilvl w:val="0"/>
          <w:numId w:val="0"/>
        </w:numPr>
        <w:ind w:left="284"/>
      </w:pPr>
      <w:r>
        <w:t xml:space="preserve">A person’s FEE-HELP </w:t>
      </w:r>
      <w:r w:rsidRPr="00736F23">
        <w:t xml:space="preserve">limit </w:t>
      </w:r>
      <w:r>
        <w:t xml:space="preserve">minus </w:t>
      </w:r>
      <w:r w:rsidRPr="00736F23">
        <w:t>any VET Student Loans</w:t>
      </w:r>
      <w:r>
        <w:t>, VET FEE</w:t>
      </w:r>
      <w:r>
        <w:noBreakHyphen/>
        <w:t>HELP</w:t>
      </w:r>
      <w:r w:rsidRPr="00736F23">
        <w:t xml:space="preserve"> and FEE</w:t>
      </w:r>
      <w:r w:rsidRPr="00736F23">
        <w:noBreakHyphen/>
        <w:t>HELP loans</w:t>
      </w:r>
      <w:r>
        <w:t xml:space="preserve"> they have used. </w:t>
      </w:r>
      <w:r w:rsidR="00347827">
        <w:t>See ‘</w:t>
      </w:r>
      <w:hyperlink w:anchor="_FEE-HELP_balance" w:history="1">
        <w:r w:rsidR="00347827" w:rsidRPr="00347827">
          <w:rPr>
            <w:rStyle w:val="Hyperlink"/>
          </w:rPr>
          <w:t>FEE-HELP balance</w:t>
        </w:r>
      </w:hyperlink>
      <w:r w:rsidR="00347827">
        <w:t>’.</w:t>
      </w:r>
    </w:p>
    <w:p w14:paraId="29EB0C61" w14:textId="77777777" w:rsidR="00F25620" w:rsidRDefault="00F25620" w:rsidP="00A41C46">
      <w:pPr>
        <w:pStyle w:val="ListBullet"/>
        <w:numPr>
          <w:ilvl w:val="0"/>
          <w:numId w:val="0"/>
        </w:numPr>
        <w:ind w:left="284"/>
      </w:pPr>
    </w:p>
    <w:p w14:paraId="39469F4F" w14:textId="77777777" w:rsidR="00F25620" w:rsidRDefault="00F25620" w:rsidP="007C6B98">
      <w:pPr>
        <w:pStyle w:val="ListBullet"/>
        <w:numPr>
          <w:ilvl w:val="0"/>
          <w:numId w:val="0"/>
        </w:numPr>
        <w:spacing w:after="0"/>
        <w:rPr>
          <w:b/>
          <w:i/>
          <w:color w:val="002060"/>
        </w:rPr>
      </w:pPr>
      <w:r w:rsidRPr="00A41C46">
        <w:rPr>
          <w:b/>
          <w:i/>
          <w:color w:val="002060"/>
        </w:rPr>
        <w:t>What is a genuine student?</w:t>
      </w:r>
    </w:p>
    <w:p w14:paraId="58BEF5EF" w14:textId="4BE0223E" w:rsidR="004B26B8" w:rsidRDefault="00240A7F" w:rsidP="0028499D">
      <w:pPr>
        <w:pStyle w:val="ListBullet"/>
        <w:numPr>
          <w:ilvl w:val="0"/>
          <w:numId w:val="0"/>
        </w:numPr>
        <w:ind w:left="284"/>
      </w:pPr>
      <w:r>
        <w:t>Whether or not a student is a “genuine student” is determined in accordance with factors set out at section 5 of the Rules. This is relevant as the Secretary does not need to pay a loan amount for a student which is not genuine. Genuine student factors include considering whether s</w:t>
      </w:r>
      <w:r w:rsidR="00F25620" w:rsidRPr="007C6B98">
        <w:t>tudents have demonstrated that they are reasonably engaged in the course and have completed the student progression requirements. See</w:t>
      </w:r>
      <w:r w:rsidR="00F25620">
        <w:t xml:space="preserve"> ‘</w:t>
      </w:r>
      <w:hyperlink w:anchor="_Determining_tuition_fees_1" w:history="1">
        <w:r w:rsidR="00890A87" w:rsidRPr="00890A87">
          <w:rPr>
            <w:rStyle w:val="Hyperlink"/>
          </w:rPr>
          <w:t>Determining tuition fees</w:t>
        </w:r>
      </w:hyperlink>
      <w:r w:rsidR="00F25620">
        <w:t>’.</w:t>
      </w:r>
    </w:p>
    <w:p w14:paraId="30EDC105" w14:textId="77777777" w:rsidR="00890A87" w:rsidRPr="0028499D" w:rsidRDefault="00890A87" w:rsidP="0028499D">
      <w:pPr>
        <w:pStyle w:val="ListBullet"/>
        <w:numPr>
          <w:ilvl w:val="0"/>
          <w:numId w:val="0"/>
        </w:numPr>
        <w:ind w:left="284"/>
      </w:pPr>
    </w:p>
    <w:p w14:paraId="2C12A593" w14:textId="07FD48C0" w:rsidR="00890A87" w:rsidRPr="007C6B98" w:rsidRDefault="00890A87" w:rsidP="007C6B98">
      <w:pPr>
        <w:pStyle w:val="ListBullet"/>
        <w:numPr>
          <w:ilvl w:val="0"/>
          <w:numId w:val="0"/>
        </w:numPr>
        <w:spacing w:after="0"/>
        <w:rPr>
          <w:i/>
          <w:color w:val="002060"/>
        </w:rPr>
      </w:pPr>
      <w:r>
        <w:rPr>
          <w:b/>
          <w:i/>
          <w:color w:val="002060"/>
        </w:rPr>
        <w:t>When</w:t>
      </w:r>
      <w:r w:rsidRPr="007C6B98">
        <w:rPr>
          <w:b/>
          <w:i/>
          <w:color w:val="002060"/>
        </w:rPr>
        <w:t xml:space="preserve"> do </w:t>
      </w:r>
      <w:r w:rsidR="00240A7F">
        <w:rPr>
          <w:b/>
          <w:i/>
          <w:color w:val="002060"/>
        </w:rPr>
        <w:t>providers</w:t>
      </w:r>
      <w:r w:rsidRPr="007C6B98">
        <w:rPr>
          <w:b/>
          <w:i/>
          <w:color w:val="002060"/>
        </w:rPr>
        <w:t xml:space="preserve"> get paid?</w:t>
      </w:r>
    </w:p>
    <w:p w14:paraId="6266BA30" w14:textId="743AF7C7" w:rsidR="00890A87" w:rsidRPr="007C6B98" w:rsidRDefault="00890A87" w:rsidP="0028499D">
      <w:pPr>
        <w:pStyle w:val="ListBullet"/>
        <w:numPr>
          <w:ilvl w:val="0"/>
          <w:numId w:val="0"/>
        </w:numPr>
        <w:ind w:left="284"/>
      </w:pPr>
      <w:r>
        <w:t>P</w:t>
      </w:r>
      <w:r w:rsidRPr="005454A1">
        <w:t>roviders will be paid monthly in arrears</w:t>
      </w:r>
      <w:r w:rsidR="00E5031A">
        <w:t xml:space="preserve"> of reported census days for genuine students</w:t>
      </w:r>
      <w:r>
        <w:t>. See ‘</w:t>
      </w:r>
      <w:hyperlink w:anchor="_5._Payments_to" w:history="1">
        <w:r w:rsidRPr="00890A87">
          <w:rPr>
            <w:rStyle w:val="Hyperlink"/>
          </w:rPr>
          <w:t>Payments to approved course providers</w:t>
        </w:r>
      </w:hyperlink>
      <w:r>
        <w:t>’.</w:t>
      </w:r>
    </w:p>
    <w:p w14:paraId="24D935BA" w14:textId="2023B46E" w:rsidR="00983AE6" w:rsidRPr="00A41C46" w:rsidRDefault="00A04573" w:rsidP="00A41C46">
      <w:pPr>
        <w:pStyle w:val="Heading2"/>
        <w:rPr>
          <w:color w:val="002060"/>
        </w:rPr>
      </w:pPr>
      <w:bookmarkStart w:id="11" w:name="_Toc501621156"/>
      <w:r w:rsidRPr="00A41C46">
        <w:rPr>
          <w:color w:val="002060"/>
        </w:rPr>
        <w:t>1.</w:t>
      </w:r>
      <w:r>
        <w:rPr>
          <w:color w:val="002060"/>
        </w:rPr>
        <w:t>3</w:t>
      </w:r>
      <w:r w:rsidRPr="00A41C46">
        <w:rPr>
          <w:color w:val="002060"/>
        </w:rPr>
        <w:t xml:space="preserve"> </w:t>
      </w:r>
      <w:r>
        <w:rPr>
          <w:color w:val="002060"/>
        </w:rPr>
        <w:t>Complying</w:t>
      </w:r>
      <w:r w:rsidR="00983AE6" w:rsidRPr="00A41C46">
        <w:rPr>
          <w:color w:val="002060"/>
        </w:rPr>
        <w:t xml:space="preserve"> with other legislation</w:t>
      </w:r>
      <w:bookmarkEnd w:id="11"/>
    </w:p>
    <w:p w14:paraId="3BEED7DE" w14:textId="680AB35D" w:rsidR="00983AE6" w:rsidRPr="001B3024" w:rsidRDefault="00983AE6" w:rsidP="00983AE6">
      <w:pPr>
        <w:rPr>
          <w:i/>
        </w:rPr>
      </w:pPr>
      <w:r w:rsidRPr="001B3024">
        <w:t>Approved course providers and their key personnel must</w:t>
      </w:r>
      <w:r w:rsidR="00240A7F">
        <w:t xml:space="preserve"> also</w:t>
      </w:r>
      <w:r w:rsidRPr="001B3024">
        <w:t xml:space="preserve"> comply with the</w:t>
      </w:r>
      <w:r w:rsidR="00240A7F">
        <w:t>ir</w:t>
      </w:r>
      <w:r>
        <w:t xml:space="preserve"> </w:t>
      </w:r>
      <w:r w:rsidRPr="001B3024">
        <w:t xml:space="preserve">requirements under other Commonwealth and State and Territory legislation. Relevant legislation includes the </w:t>
      </w:r>
      <w:r w:rsidR="00375A0A">
        <w:rPr>
          <w:rStyle w:val="Emphasis"/>
        </w:rPr>
        <w:t>Privacy Act </w:t>
      </w:r>
      <w:r w:rsidRPr="004D1FC8">
        <w:rPr>
          <w:rStyle w:val="Emphasis"/>
        </w:rPr>
        <w:t>1988</w:t>
      </w:r>
      <w:r w:rsidRPr="001B3024">
        <w:t xml:space="preserve">, the </w:t>
      </w:r>
      <w:r w:rsidRPr="004D1FC8">
        <w:rPr>
          <w:rStyle w:val="Emphasis"/>
        </w:rPr>
        <w:t>National Vocational Education and Training Regulator Act 2011</w:t>
      </w:r>
      <w:r w:rsidRPr="001B3024">
        <w:rPr>
          <w:i/>
        </w:rPr>
        <w:t xml:space="preserve">, </w:t>
      </w:r>
      <w:r w:rsidRPr="001B3024">
        <w:t xml:space="preserve">the </w:t>
      </w:r>
      <w:r w:rsidRPr="001B3024">
        <w:rPr>
          <w:i/>
        </w:rPr>
        <w:t>Higher Education Support Act 2003</w:t>
      </w:r>
      <w:r w:rsidRPr="001B3024">
        <w:t xml:space="preserve">, the </w:t>
      </w:r>
      <w:r w:rsidRPr="001B3024">
        <w:rPr>
          <w:i/>
        </w:rPr>
        <w:t xml:space="preserve">Crimes Act 1914, </w:t>
      </w:r>
      <w:r w:rsidRPr="001B3024">
        <w:t xml:space="preserve">the </w:t>
      </w:r>
      <w:r w:rsidRPr="001B3024">
        <w:rPr>
          <w:i/>
        </w:rPr>
        <w:t xml:space="preserve">Competition and Consumer Act 2010 </w:t>
      </w:r>
      <w:r w:rsidRPr="001B3024">
        <w:t xml:space="preserve">and the </w:t>
      </w:r>
      <w:r w:rsidRPr="001B3024">
        <w:rPr>
          <w:i/>
        </w:rPr>
        <w:t xml:space="preserve">Corporations Act 2001. </w:t>
      </w:r>
    </w:p>
    <w:p w14:paraId="54DC3B6F" w14:textId="3A1712E6" w:rsidR="00983AE6" w:rsidRDefault="00983AE6" w:rsidP="00983AE6">
      <w:pPr>
        <w:rPr>
          <w:rFonts w:ascii="Calibri" w:eastAsiaTheme="majorEastAsia" w:hAnsi="Calibri" w:cstheme="majorBidi"/>
          <w:b/>
          <w:bCs/>
          <w:color w:val="292065"/>
          <w:sz w:val="28"/>
          <w:szCs w:val="26"/>
        </w:rPr>
      </w:pPr>
      <w:r w:rsidRPr="001B3024">
        <w:t>In addition to any consequences that may result under the specific legislation, a failure to comply with the law, and in particular any convictions for an offence or imposition of a pecuniary penalty order, may be taken into consideration in assessing whether the provider and its key personnel continue to satisfy the ‘fit and proper person’ course provider requirement. Being able to satisfy this requirement is necessary for a provider to maintain its status as an approved</w:t>
      </w:r>
      <w:r w:rsidR="00E5031A">
        <w:t xml:space="preserve"> course provider (see paragraph </w:t>
      </w:r>
      <w:r w:rsidRPr="001B3024">
        <w:t xml:space="preserve">25(2)(f) of the </w:t>
      </w:r>
      <w:r w:rsidRPr="001B3024">
        <w:rPr>
          <w:i/>
        </w:rPr>
        <w:t>VET Student Loans Act 2016</w:t>
      </w:r>
      <w:r w:rsidRPr="001B3024">
        <w:t xml:space="preserve"> and Division 2, Part 4 of the VET Student Loans Rules 2016).</w:t>
      </w:r>
    </w:p>
    <w:p w14:paraId="6F3A6312" w14:textId="1084A964" w:rsidR="00983AE6" w:rsidRPr="0028499D" w:rsidRDefault="00A04573">
      <w:pPr>
        <w:pStyle w:val="Heading2"/>
        <w:rPr>
          <w:rFonts w:eastAsia="Times New Roman"/>
        </w:rPr>
      </w:pPr>
      <w:bookmarkStart w:id="12" w:name="_1.4_VET_Student"/>
      <w:bookmarkStart w:id="13" w:name="_1.4_Useful_Links"/>
      <w:bookmarkStart w:id="14" w:name="_Toc501621157"/>
      <w:bookmarkEnd w:id="12"/>
      <w:bookmarkEnd w:id="13"/>
      <w:r w:rsidRPr="0028499D">
        <w:rPr>
          <w:rFonts w:eastAsia="Times New Roman"/>
        </w:rPr>
        <w:t xml:space="preserve">1.4 </w:t>
      </w:r>
      <w:r>
        <w:rPr>
          <w:rFonts w:eastAsia="Times New Roman"/>
        </w:rPr>
        <w:t>Useful</w:t>
      </w:r>
      <w:r w:rsidR="00983AE6" w:rsidRPr="0028499D">
        <w:rPr>
          <w:rFonts w:eastAsia="Times New Roman"/>
        </w:rPr>
        <w:t xml:space="preserve"> Links</w:t>
      </w:r>
      <w:bookmarkEnd w:id="14"/>
    </w:p>
    <w:p w14:paraId="2DF79044" w14:textId="77777777" w:rsidR="00983AE6" w:rsidRPr="007A4EDE" w:rsidRDefault="00983AE6" w:rsidP="00983AE6">
      <w:pPr>
        <w:pStyle w:val="Strongcolor"/>
        <w:rPr>
          <w:rStyle w:val="Strong"/>
          <w:b/>
          <w:bCs w:val="0"/>
        </w:rPr>
      </w:pPr>
      <w:r w:rsidRPr="007A4EDE">
        <w:rPr>
          <w:rStyle w:val="Strong"/>
          <w:b/>
          <w:bCs w:val="0"/>
        </w:rPr>
        <w:t>Legislation</w:t>
      </w:r>
    </w:p>
    <w:p w14:paraId="0D665BBF" w14:textId="77777777" w:rsidR="00983AE6" w:rsidRPr="00DF557F" w:rsidRDefault="00983AE6" w:rsidP="00DF557F">
      <w:pPr>
        <w:pStyle w:val="ListBullet"/>
        <w:rPr>
          <w:rFonts w:cstheme="minorHAnsi"/>
          <w:i/>
        </w:rPr>
      </w:pPr>
      <w:r w:rsidRPr="008A5632">
        <w:rPr>
          <w:i/>
        </w:rPr>
        <w:t>VET Student Loans Act 2016</w:t>
      </w:r>
      <w:r w:rsidRPr="004D1736">
        <w:t>:</w:t>
      </w:r>
      <w:r w:rsidRPr="00DF557F">
        <w:rPr>
          <w:rFonts w:cstheme="minorHAnsi"/>
          <w:i/>
        </w:rPr>
        <w:t xml:space="preserve"> </w:t>
      </w:r>
      <w:hyperlink r:id="rId18" w:history="1">
        <w:r w:rsidRPr="009831A1">
          <w:rPr>
            <w:rStyle w:val="Hyperlink"/>
          </w:rPr>
          <w:t>www.legislation.gov.au/Series/C2016A00098</w:t>
        </w:r>
      </w:hyperlink>
      <w:r w:rsidRPr="009831A1">
        <w:rPr>
          <w:rFonts w:cstheme="minorHAnsi"/>
          <w:i/>
        </w:rPr>
        <w:t xml:space="preserve"> </w:t>
      </w:r>
    </w:p>
    <w:p w14:paraId="2ADA561A" w14:textId="70A7B897" w:rsidR="00983AE6" w:rsidRPr="00736F23" w:rsidRDefault="00983AE6" w:rsidP="00957FDA">
      <w:pPr>
        <w:pStyle w:val="ListBullet"/>
      </w:pPr>
      <w:r w:rsidRPr="008A5632">
        <w:rPr>
          <w:i/>
        </w:rPr>
        <w:t xml:space="preserve">VET Student Loans (Charges) Act </w:t>
      </w:r>
      <w:r w:rsidR="005455F8" w:rsidRPr="008A5632">
        <w:rPr>
          <w:i/>
        </w:rPr>
        <w:t>201</w:t>
      </w:r>
      <w:r w:rsidR="009831A1">
        <w:rPr>
          <w:i/>
        </w:rPr>
        <w:t>6</w:t>
      </w:r>
      <w:r w:rsidRPr="00736F23">
        <w:t xml:space="preserve">: </w:t>
      </w:r>
      <w:hyperlink r:id="rId19" w:history="1">
        <w:r w:rsidR="00240A7F" w:rsidRPr="00D93BE2">
          <w:rPr>
            <w:rStyle w:val="Hyperlink"/>
          </w:rPr>
          <w:t>https://www.legislation.gov.au/Details/C2016A00099</w:t>
        </w:r>
      </w:hyperlink>
    </w:p>
    <w:p w14:paraId="1525E144" w14:textId="77777777" w:rsidR="00983AE6" w:rsidRPr="00736F23" w:rsidRDefault="00983AE6" w:rsidP="00983AE6">
      <w:pPr>
        <w:pStyle w:val="ListBullet"/>
        <w:rPr>
          <w:rFonts w:cstheme="minorHAnsi"/>
        </w:rPr>
      </w:pPr>
      <w:r w:rsidRPr="00E90172">
        <w:t xml:space="preserve">VET Student Loans Rules 2016: </w:t>
      </w:r>
      <w:hyperlink r:id="rId20" w:history="1">
        <w:r w:rsidRPr="00E90172">
          <w:rPr>
            <w:rStyle w:val="Hyperlink"/>
          </w:rPr>
          <w:t>www.legislation.gov.au/Series/F2016L02030</w:t>
        </w:r>
      </w:hyperlink>
    </w:p>
    <w:p w14:paraId="693F9B8F" w14:textId="77777777" w:rsidR="00983AE6" w:rsidRDefault="00983AE6" w:rsidP="005D30B9">
      <w:pPr>
        <w:pStyle w:val="ListBullet"/>
      </w:pPr>
      <w:r w:rsidRPr="00E90172">
        <w:t xml:space="preserve">VET Student Loans (Courses and Loan Caps) Determination 2016: </w:t>
      </w:r>
      <w:hyperlink r:id="rId21" w:history="1">
        <w:r w:rsidR="005D30B9" w:rsidRPr="005D30B9">
          <w:rPr>
            <w:rStyle w:val="Hyperlink"/>
          </w:rPr>
          <w:t>www.legislation.gov.au/Series/F2016L02016</w:t>
        </w:r>
      </w:hyperlink>
      <w:r w:rsidR="005D30B9">
        <w:t xml:space="preserve"> </w:t>
      </w:r>
    </w:p>
    <w:p w14:paraId="483F9D15" w14:textId="77777777" w:rsidR="00705195" w:rsidRDefault="00705195" w:rsidP="00705195">
      <w:pPr>
        <w:pStyle w:val="ListBullet"/>
      </w:pPr>
      <w:r w:rsidRPr="00705195">
        <w:t>VET Student Loans (Approved Course Provider Application Fee) Determination 2017</w:t>
      </w:r>
      <w:r>
        <w:t xml:space="preserve">: </w:t>
      </w:r>
      <w:hyperlink r:id="rId22" w:history="1">
        <w:r w:rsidRPr="007A4065">
          <w:rPr>
            <w:rStyle w:val="Hyperlink"/>
          </w:rPr>
          <w:t>www.legislation.gov.au/Series/F2017L01060</w:t>
        </w:r>
      </w:hyperlink>
    </w:p>
    <w:p w14:paraId="4B7A0A31" w14:textId="77777777" w:rsidR="00A4082D" w:rsidRDefault="00A4082D" w:rsidP="00A4082D">
      <w:pPr>
        <w:pStyle w:val="ListBullet"/>
      </w:pPr>
      <w:r w:rsidRPr="00A4082D">
        <w:t>VET Student Loans (Charges) Regulations 2017</w:t>
      </w:r>
      <w:r>
        <w:t xml:space="preserve">:  </w:t>
      </w:r>
      <w:hyperlink r:id="rId23" w:history="1">
        <w:r w:rsidRPr="00A4082D">
          <w:rPr>
            <w:rStyle w:val="Hyperlink"/>
          </w:rPr>
          <w:t>www.legislation.gov.au/Series/F2017L00821</w:t>
        </w:r>
      </w:hyperlink>
    </w:p>
    <w:p w14:paraId="42C14E94" w14:textId="77777777" w:rsidR="00705195" w:rsidRPr="00E90172" w:rsidRDefault="00705195" w:rsidP="00705195">
      <w:pPr>
        <w:pStyle w:val="ListBullet"/>
      </w:pPr>
      <w:r w:rsidRPr="00705195">
        <w:lastRenderedPageBreak/>
        <w:t>VET Student Loans (External Dispute Resolution Scheme) Specification 2017</w:t>
      </w:r>
      <w:r>
        <w:t xml:space="preserve">:  </w:t>
      </w:r>
      <w:hyperlink r:id="rId24" w:history="1">
        <w:r w:rsidRPr="007A4065">
          <w:rPr>
            <w:rStyle w:val="Hyperlink"/>
          </w:rPr>
          <w:t>www.legislation.gov.au/Series/F2017L00609</w:t>
        </w:r>
      </w:hyperlink>
    </w:p>
    <w:p w14:paraId="0CF05A9C" w14:textId="794439EA" w:rsidR="00983AE6" w:rsidRPr="00E5031A" w:rsidRDefault="00983AE6" w:rsidP="00983AE6">
      <w:pPr>
        <w:pStyle w:val="ListBullet"/>
        <w:rPr>
          <w:rStyle w:val="Hyperlink"/>
          <w:b w:val="0"/>
          <w:color w:val="auto"/>
        </w:rPr>
      </w:pPr>
      <w:r w:rsidRPr="008A5632">
        <w:rPr>
          <w:i/>
        </w:rPr>
        <w:t>Student Identifier Act 2014</w:t>
      </w:r>
      <w:r w:rsidRPr="00E90172">
        <w:t xml:space="preserve">: </w:t>
      </w:r>
      <w:hyperlink r:id="rId25" w:history="1">
        <w:r w:rsidRPr="00E90172">
          <w:rPr>
            <w:rStyle w:val="Hyperlink"/>
          </w:rPr>
          <w:t>www.legislation.gov.au/Series/C2014A00036</w:t>
        </w:r>
      </w:hyperlink>
    </w:p>
    <w:p w14:paraId="496ED07A" w14:textId="4E09AB60" w:rsidR="00E5031A" w:rsidRPr="00E90172" w:rsidRDefault="00E5031A" w:rsidP="000F558C">
      <w:pPr>
        <w:pStyle w:val="ListBullet"/>
      </w:pPr>
      <w:r w:rsidRPr="000F558C">
        <w:rPr>
          <w:i/>
        </w:rPr>
        <w:t>Higher Education Support Act 2003:</w:t>
      </w:r>
      <w:r>
        <w:t xml:space="preserve">  </w:t>
      </w:r>
      <w:hyperlink r:id="rId26" w:history="1">
        <w:r w:rsidR="000F558C" w:rsidRPr="0087239F">
          <w:rPr>
            <w:rStyle w:val="Hyperlink"/>
          </w:rPr>
          <w:t>www.legislation.gov.au/Series/C2004A01234</w:t>
        </w:r>
      </w:hyperlink>
      <w:r w:rsidR="000F558C">
        <w:t xml:space="preserve"> </w:t>
      </w:r>
    </w:p>
    <w:p w14:paraId="7BD0DA26" w14:textId="52578355" w:rsidR="00983AE6" w:rsidRPr="007A4EDE" w:rsidRDefault="00983AE6" w:rsidP="00983AE6">
      <w:pPr>
        <w:pStyle w:val="Strongcolor"/>
        <w:rPr>
          <w:rStyle w:val="Strong"/>
          <w:b/>
          <w:bCs w:val="0"/>
        </w:rPr>
      </w:pPr>
      <w:r w:rsidRPr="007A4EDE">
        <w:rPr>
          <w:rStyle w:val="Strong"/>
          <w:b/>
          <w:bCs w:val="0"/>
        </w:rPr>
        <w:t>IT help</w:t>
      </w:r>
    </w:p>
    <w:p w14:paraId="164DEEF3" w14:textId="77777777" w:rsidR="00983AE6" w:rsidRPr="00736F23" w:rsidRDefault="00983AE6" w:rsidP="00983AE6">
      <w:pPr>
        <w:pStyle w:val="ListBullet"/>
        <w:rPr>
          <w:rFonts w:cstheme="minorHAnsi"/>
          <w:bCs/>
        </w:rPr>
      </w:pPr>
      <w:r w:rsidRPr="00E90172">
        <w:t xml:space="preserve">HELP Information Technology System (HITS) User Guide: </w:t>
      </w:r>
      <w:hyperlink r:id="rId27" w:history="1">
        <w:r w:rsidRPr="00E90172">
          <w:rPr>
            <w:rStyle w:val="Hyperlink"/>
          </w:rPr>
          <w:t>https://docs.education.gov.au/node/33983</w:t>
        </w:r>
      </w:hyperlink>
    </w:p>
    <w:p w14:paraId="46D49F97" w14:textId="77777777" w:rsidR="00983AE6" w:rsidRDefault="00983AE6" w:rsidP="00983AE6">
      <w:pPr>
        <w:pStyle w:val="ListBullet"/>
        <w:rPr>
          <w:rStyle w:val="Hyperlink"/>
          <w:rFonts w:cstheme="minorHAnsi"/>
          <w:bCs/>
        </w:rPr>
      </w:pPr>
      <w:r w:rsidRPr="00736F23">
        <w:rPr>
          <w:rFonts w:cstheme="minorHAnsi"/>
          <w:bCs/>
        </w:rPr>
        <w:t xml:space="preserve">HEIMS Guides: </w:t>
      </w:r>
      <w:hyperlink r:id="rId28" w:history="1">
        <w:r w:rsidRPr="00E90172">
          <w:rPr>
            <w:rStyle w:val="Hyperlink"/>
          </w:rPr>
          <w:t>http://heimshelp.education.gov.au/sites/heimshelp</w:t>
        </w:r>
      </w:hyperlink>
    </w:p>
    <w:p w14:paraId="65FB505A" w14:textId="77777777" w:rsidR="00983AE6" w:rsidRPr="000008FD" w:rsidRDefault="00983AE6" w:rsidP="00983AE6">
      <w:pPr>
        <w:pStyle w:val="Strongcolor"/>
        <w:rPr>
          <w:rStyle w:val="Strong"/>
          <w:b/>
        </w:rPr>
      </w:pPr>
      <w:r w:rsidRPr="000008FD">
        <w:rPr>
          <w:rStyle w:val="Strong"/>
          <w:b/>
        </w:rPr>
        <w:t>Department of Education and Training Websites:</w:t>
      </w:r>
    </w:p>
    <w:p w14:paraId="75466721" w14:textId="77777777" w:rsidR="00983AE6" w:rsidRPr="00E90172" w:rsidRDefault="00983AE6" w:rsidP="00983AE6">
      <w:pPr>
        <w:pStyle w:val="ListBullet"/>
      </w:pPr>
      <w:r w:rsidRPr="00E90172">
        <w:t xml:space="preserve">The department: </w:t>
      </w:r>
      <w:hyperlink r:id="rId29" w:history="1">
        <w:r w:rsidRPr="00E90172">
          <w:rPr>
            <w:rStyle w:val="Hyperlink"/>
          </w:rPr>
          <w:t>www.education.gov.au/vet-student-loans</w:t>
        </w:r>
      </w:hyperlink>
    </w:p>
    <w:p w14:paraId="28EF6669" w14:textId="77777777" w:rsidR="00983AE6" w:rsidRPr="00E90172" w:rsidRDefault="00983AE6" w:rsidP="00983AE6">
      <w:pPr>
        <w:pStyle w:val="ListBullet"/>
      </w:pPr>
      <w:r w:rsidRPr="00E90172">
        <w:t>My Skills:</w:t>
      </w:r>
      <w:hyperlink r:id="rId30" w:history="1"/>
      <w:r w:rsidRPr="00E90172">
        <w:t xml:space="preserve"> </w:t>
      </w:r>
      <w:hyperlink r:id="rId31" w:history="1">
        <w:r w:rsidRPr="00E90172">
          <w:rPr>
            <w:rStyle w:val="Hyperlink"/>
          </w:rPr>
          <w:t>www.myskills.gov.au</w:t>
        </w:r>
      </w:hyperlink>
    </w:p>
    <w:p w14:paraId="033882B8" w14:textId="77777777" w:rsidR="00983AE6" w:rsidRPr="00E90172" w:rsidRDefault="00983AE6" w:rsidP="00983AE6">
      <w:pPr>
        <w:pStyle w:val="ListBullet"/>
        <w:rPr>
          <w:rStyle w:val="Hyperlink"/>
          <w:b w:val="0"/>
        </w:rPr>
      </w:pPr>
      <w:r w:rsidRPr="00E90172">
        <w:t xml:space="preserve">Study Assist: </w:t>
      </w:r>
      <w:hyperlink r:id="rId32" w:history="1">
        <w:r w:rsidRPr="00E90172">
          <w:rPr>
            <w:rStyle w:val="Hyperlink"/>
          </w:rPr>
          <w:t>www.studyassist.gov.au</w:t>
        </w:r>
      </w:hyperlink>
    </w:p>
    <w:p w14:paraId="29FB85A4" w14:textId="77777777" w:rsidR="00983AE6" w:rsidRDefault="00983AE6" w:rsidP="00983AE6">
      <w:pPr>
        <w:pStyle w:val="Strongcolor"/>
      </w:pPr>
      <w:r w:rsidRPr="00770921">
        <w:t>Email:</w:t>
      </w:r>
      <w:r>
        <w:t xml:space="preserve"> </w:t>
      </w:r>
    </w:p>
    <w:p w14:paraId="3142B248" w14:textId="77777777" w:rsidR="000C58DC" w:rsidRDefault="00983AE6" w:rsidP="000C58DC">
      <w:r w:rsidRPr="00E03E53">
        <w:t>Approved course providers with enquiries or notif</w:t>
      </w:r>
      <w:r>
        <w:t xml:space="preserve">ications should use the </w:t>
      </w:r>
      <w:r w:rsidR="007C3509" w:rsidRPr="007C3509">
        <w:t>p</w:t>
      </w:r>
      <w:r w:rsidRPr="007C3509">
        <w:t xml:space="preserve">rovider </w:t>
      </w:r>
      <w:r w:rsidRPr="00E03E53">
        <w:t>online enquiry form at</w:t>
      </w:r>
      <w:r w:rsidR="000C58DC">
        <w:t>:</w:t>
      </w:r>
      <w:r w:rsidRPr="00E03E53">
        <w:t xml:space="preserve"> </w:t>
      </w:r>
      <w:hyperlink r:id="rId33" w:history="1">
        <w:r w:rsidR="000C58DC" w:rsidRPr="000C58DC">
          <w:rPr>
            <w:rStyle w:val="Hyperlink"/>
          </w:rPr>
          <w:t>www.education.gov.au/information-vet-student-loans-approved-providers</w:t>
        </w:r>
      </w:hyperlink>
      <w:r w:rsidR="0010395A">
        <w:rPr>
          <w:b/>
        </w:rPr>
        <w:t>.</w:t>
      </w:r>
    </w:p>
    <w:p w14:paraId="0F95C747" w14:textId="5C112F9D" w:rsidR="00983AE6" w:rsidRPr="002C6614" w:rsidRDefault="00A04573" w:rsidP="009D04F4">
      <w:pPr>
        <w:pStyle w:val="Heading2"/>
        <w:rPr>
          <w:rFonts w:eastAsia="Times New Roman"/>
        </w:rPr>
      </w:pPr>
      <w:bookmarkStart w:id="15" w:name="_1.5_Glossary"/>
      <w:bookmarkStart w:id="16" w:name="_Toc501621158"/>
      <w:bookmarkEnd w:id="15"/>
      <w:r w:rsidRPr="002C6614">
        <w:rPr>
          <w:rFonts w:eastAsia="Times New Roman"/>
        </w:rPr>
        <w:t>1.5</w:t>
      </w:r>
      <w:r>
        <w:rPr>
          <w:rFonts w:eastAsia="Times New Roman"/>
        </w:rPr>
        <w:t xml:space="preserve"> </w:t>
      </w:r>
      <w:r w:rsidRPr="002C6614">
        <w:rPr>
          <w:rFonts w:eastAsia="Times New Roman"/>
        </w:rPr>
        <w:t>Glossary</w:t>
      </w:r>
      <w:bookmarkEnd w:id="16"/>
      <w:r w:rsidR="00983AE6" w:rsidRPr="002C6614">
        <w:rPr>
          <w:rFonts w:eastAsia="Times New Roman"/>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7953"/>
      </w:tblGrid>
      <w:tr w:rsidR="00983AE6" w:rsidRPr="00736F23" w14:paraId="572633F3" w14:textId="77777777" w:rsidTr="00AF0B69">
        <w:trPr>
          <w:cantSplit/>
          <w:trHeight w:val="306"/>
          <w:tblHeader/>
        </w:trPr>
        <w:tc>
          <w:tcPr>
            <w:tcW w:w="1333" w:type="dxa"/>
            <w:tcBorders>
              <w:bottom w:val="single" w:sz="4" w:space="0" w:color="EEECE1" w:themeColor="background2"/>
              <w:right w:val="single" w:sz="4" w:space="0" w:color="EEECE1" w:themeColor="background2"/>
            </w:tcBorders>
            <w:shd w:val="clear" w:color="auto" w:fill="24206B"/>
          </w:tcPr>
          <w:p w14:paraId="000AB588" w14:textId="77777777" w:rsidR="00983AE6" w:rsidRPr="0050179D" w:rsidRDefault="00983AE6" w:rsidP="00484601">
            <w:pPr>
              <w:pStyle w:val="Heading4"/>
              <w:numPr>
                <w:ilvl w:val="0"/>
                <w:numId w:val="0"/>
              </w:numPr>
              <w:rPr>
                <w:rStyle w:val="Emphasis"/>
                <w:rFonts w:asciiTheme="minorHAnsi" w:hAnsiTheme="minorHAnsi" w:cstheme="minorHAnsi"/>
                <w:color w:val="EEECE1" w:themeColor="background2"/>
              </w:rPr>
            </w:pPr>
            <w:r w:rsidRPr="0050179D">
              <w:rPr>
                <w:rStyle w:val="Emphasis"/>
                <w:rFonts w:asciiTheme="minorHAnsi" w:hAnsiTheme="minorHAnsi" w:cstheme="minorHAnsi"/>
                <w:color w:val="EEECE1" w:themeColor="background2"/>
              </w:rPr>
              <w:t>Term</w:t>
            </w:r>
          </w:p>
        </w:tc>
        <w:tc>
          <w:tcPr>
            <w:tcW w:w="7953" w:type="dxa"/>
            <w:tcBorders>
              <w:left w:val="single" w:sz="4" w:space="0" w:color="EEECE1" w:themeColor="background2"/>
              <w:bottom w:val="single" w:sz="4" w:space="0" w:color="EEECE1" w:themeColor="background2"/>
            </w:tcBorders>
            <w:shd w:val="clear" w:color="auto" w:fill="24206B"/>
          </w:tcPr>
          <w:p w14:paraId="35E2C181" w14:textId="77777777" w:rsidR="00983AE6" w:rsidRPr="0050179D" w:rsidRDefault="00983AE6" w:rsidP="00484601">
            <w:pPr>
              <w:pStyle w:val="Heading4"/>
              <w:numPr>
                <w:ilvl w:val="0"/>
                <w:numId w:val="0"/>
              </w:numPr>
              <w:rPr>
                <w:rStyle w:val="Emphasis"/>
                <w:rFonts w:asciiTheme="minorHAnsi" w:eastAsiaTheme="minorHAnsi" w:hAnsiTheme="minorHAnsi" w:cstheme="minorHAnsi"/>
                <w:color w:val="EEECE1" w:themeColor="background2"/>
              </w:rPr>
            </w:pPr>
            <w:r w:rsidRPr="0050179D">
              <w:rPr>
                <w:rStyle w:val="Emphasis"/>
                <w:rFonts w:asciiTheme="minorHAnsi" w:hAnsiTheme="minorHAnsi" w:cstheme="minorHAnsi"/>
                <w:color w:val="EEECE1" w:themeColor="background2"/>
              </w:rPr>
              <w:t>Explanation</w:t>
            </w:r>
          </w:p>
        </w:tc>
      </w:tr>
      <w:tr w:rsidR="00983AE6" w:rsidRPr="00736F23" w14:paraId="1AFD4E18" w14:textId="77777777" w:rsidTr="00AF0B69">
        <w:trPr>
          <w:cantSplit/>
          <w:trHeight w:val="306"/>
        </w:trPr>
        <w:tc>
          <w:tcPr>
            <w:tcW w:w="1333" w:type="dxa"/>
            <w:tcBorders>
              <w:top w:val="single" w:sz="4" w:space="0" w:color="EEECE1" w:themeColor="background2"/>
            </w:tcBorders>
            <w:shd w:val="clear" w:color="auto" w:fill="auto"/>
          </w:tcPr>
          <w:p w14:paraId="6FA3E0B1" w14:textId="77777777" w:rsidR="00983AE6" w:rsidRPr="0050179D" w:rsidRDefault="00983AE6" w:rsidP="005F300B">
            <w:pPr>
              <w:spacing w:after="0"/>
              <w:rPr>
                <w:rFonts w:cstheme="minorHAnsi"/>
              </w:rPr>
            </w:pPr>
            <w:r w:rsidRPr="0050179D">
              <w:rPr>
                <w:rFonts w:cstheme="minorHAnsi"/>
              </w:rPr>
              <w:t>AAT</w:t>
            </w:r>
          </w:p>
        </w:tc>
        <w:tc>
          <w:tcPr>
            <w:tcW w:w="7953" w:type="dxa"/>
            <w:tcBorders>
              <w:top w:val="single" w:sz="4" w:space="0" w:color="EEECE1" w:themeColor="background2"/>
            </w:tcBorders>
            <w:shd w:val="clear" w:color="auto" w:fill="auto"/>
          </w:tcPr>
          <w:p w14:paraId="7CEFEA52" w14:textId="77777777" w:rsidR="00983AE6" w:rsidRPr="0050179D" w:rsidRDefault="00983AE6" w:rsidP="005F300B">
            <w:pPr>
              <w:spacing w:after="0"/>
              <w:rPr>
                <w:rFonts w:cstheme="minorHAnsi"/>
              </w:rPr>
            </w:pPr>
            <w:r w:rsidRPr="0050179D">
              <w:rPr>
                <w:rFonts w:cstheme="minorHAnsi"/>
              </w:rPr>
              <w:t>Administrative Appeals Tribunal</w:t>
            </w:r>
          </w:p>
        </w:tc>
      </w:tr>
      <w:tr w:rsidR="00983AE6" w:rsidRPr="00736F23" w14:paraId="15775722" w14:textId="77777777" w:rsidTr="00AF0B69">
        <w:trPr>
          <w:cantSplit/>
          <w:trHeight w:val="306"/>
        </w:trPr>
        <w:tc>
          <w:tcPr>
            <w:tcW w:w="1333" w:type="dxa"/>
            <w:shd w:val="clear" w:color="auto" w:fill="auto"/>
          </w:tcPr>
          <w:p w14:paraId="02A99D67" w14:textId="77777777" w:rsidR="00983AE6" w:rsidRPr="0050179D" w:rsidRDefault="00983AE6" w:rsidP="005F300B">
            <w:pPr>
              <w:spacing w:after="0"/>
              <w:rPr>
                <w:rFonts w:cstheme="minorHAnsi"/>
              </w:rPr>
            </w:pPr>
            <w:r w:rsidRPr="0050179D">
              <w:rPr>
                <w:rFonts w:cstheme="minorHAnsi"/>
              </w:rPr>
              <w:t>ACSF</w:t>
            </w:r>
          </w:p>
        </w:tc>
        <w:tc>
          <w:tcPr>
            <w:tcW w:w="7953" w:type="dxa"/>
            <w:shd w:val="clear" w:color="auto" w:fill="auto"/>
          </w:tcPr>
          <w:p w14:paraId="4008321D" w14:textId="77777777" w:rsidR="00983AE6" w:rsidRPr="0050179D" w:rsidRDefault="00983AE6" w:rsidP="005F300B">
            <w:pPr>
              <w:spacing w:after="0"/>
              <w:rPr>
                <w:rFonts w:cstheme="minorHAnsi"/>
              </w:rPr>
            </w:pPr>
            <w:r w:rsidRPr="0050179D">
              <w:rPr>
                <w:rFonts w:cstheme="minorHAnsi"/>
              </w:rPr>
              <w:t>Australian Core Skills Framework</w:t>
            </w:r>
          </w:p>
        </w:tc>
      </w:tr>
      <w:tr w:rsidR="00983AE6" w:rsidRPr="00736F23" w14:paraId="7C6017B6" w14:textId="77777777" w:rsidTr="00AF0B69">
        <w:trPr>
          <w:cantSplit/>
          <w:trHeight w:val="306"/>
        </w:trPr>
        <w:tc>
          <w:tcPr>
            <w:tcW w:w="1333" w:type="dxa"/>
            <w:shd w:val="clear" w:color="auto" w:fill="auto"/>
          </w:tcPr>
          <w:p w14:paraId="1E56809B" w14:textId="77777777" w:rsidR="00983AE6" w:rsidRPr="0050179D" w:rsidRDefault="00983AE6" w:rsidP="005F300B">
            <w:pPr>
              <w:spacing w:after="0"/>
              <w:rPr>
                <w:rFonts w:cstheme="minorHAnsi"/>
              </w:rPr>
            </w:pPr>
            <w:r w:rsidRPr="0050179D">
              <w:rPr>
                <w:rFonts w:cstheme="minorHAnsi"/>
              </w:rPr>
              <w:t>ADI</w:t>
            </w:r>
          </w:p>
        </w:tc>
        <w:tc>
          <w:tcPr>
            <w:tcW w:w="7953" w:type="dxa"/>
            <w:shd w:val="clear" w:color="auto" w:fill="auto"/>
          </w:tcPr>
          <w:p w14:paraId="77907832" w14:textId="77777777" w:rsidR="00983AE6" w:rsidRPr="0050179D" w:rsidRDefault="00983AE6" w:rsidP="005F300B">
            <w:pPr>
              <w:spacing w:after="0"/>
              <w:rPr>
                <w:rFonts w:cstheme="minorHAnsi"/>
              </w:rPr>
            </w:pPr>
            <w:r w:rsidRPr="0050179D">
              <w:rPr>
                <w:rStyle w:val="tgc"/>
                <w:rFonts w:cstheme="minorHAnsi"/>
                <w:color w:val="222222"/>
              </w:rPr>
              <w:t>Authorised Deposit-Taking Institution</w:t>
            </w:r>
          </w:p>
        </w:tc>
      </w:tr>
      <w:tr w:rsidR="00983AE6" w:rsidRPr="00736F23" w14:paraId="56A808D9" w14:textId="77777777" w:rsidTr="00AF0B69">
        <w:trPr>
          <w:cantSplit/>
          <w:trHeight w:val="306"/>
        </w:trPr>
        <w:tc>
          <w:tcPr>
            <w:tcW w:w="1333" w:type="dxa"/>
            <w:shd w:val="clear" w:color="auto" w:fill="auto"/>
          </w:tcPr>
          <w:p w14:paraId="0D7AA392" w14:textId="77777777" w:rsidR="00983AE6" w:rsidRPr="0050179D" w:rsidRDefault="00983AE6" w:rsidP="005F300B">
            <w:pPr>
              <w:spacing w:after="0"/>
              <w:rPr>
                <w:rFonts w:cstheme="minorHAnsi"/>
              </w:rPr>
            </w:pPr>
            <w:r w:rsidRPr="0050179D">
              <w:rPr>
                <w:rFonts w:cstheme="minorHAnsi"/>
              </w:rPr>
              <w:t>APP</w:t>
            </w:r>
          </w:p>
        </w:tc>
        <w:tc>
          <w:tcPr>
            <w:tcW w:w="7953" w:type="dxa"/>
            <w:shd w:val="clear" w:color="auto" w:fill="auto"/>
          </w:tcPr>
          <w:p w14:paraId="34E1D4A8" w14:textId="77777777" w:rsidR="00983AE6" w:rsidRPr="0050179D" w:rsidRDefault="00983AE6" w:rsidP="005F300B">
            <w:pPr>
              <w:spacing w:after="0"/>
              <w:rPr>
                <w:rFonts w:cstheme="minorHAnsi"/>
              </w:rPr>
            </w:pPr>
            <w:r w:rsidRPr="0050179D">
              <w:rPr>
                <w:rFonts w:cstheme="minorHAnsi"/>
              </w:rPr>
              <w:t xml:space="preserve">Australian Privacy Principles, as defined in the </w:t>
            </w:r>
            <w:r w:rsidRPr="002C6614">
              <w:rPr>
                <w:rFonts w:cstheme="minorHAnsi"/>
                <w:i/>
              </w:rPr>
              <w:t>Privacy Act 1988</w:t>
            </w:r>
          </w:p>
        </w:tc>
      </w:tr>
      <w:tr w:rsidR="00983AE6" w:rsidRPr="00736F23" w14:paraId="60B4347B" w14:textId="77777777" w:rsidTr="00AF0B69">
        <w:trPr>
          <w:cantSplit/>
          <w:trHeight w:val="306"/>
        </w:trPr>
        <w:tc>
          <w:tcPr>
            <w:tcW w:w="1333" w:type="dxa"/>
            <w:shd w:val="clear" w:color="auto" w:fill="auto"/>
          </w:tcPr>
          <w:p w14:paraId="0768422E" w14:textId="77777777" w:rsidR="00983AE6" w:rsidRPr="0050179D" w:rsidRDefault="00983AE6" w:rsidP="005F300B">
            <w:pPr>
              <w:spacing w:after="0"/>
              <w:rPr>
                <w:rFonts w:cstheme="minorHAnsi"/>
              </w:rPr>
            </w:pPr>
            <w:r w:rsidRPr="0050179D">
              <w:rPr>
                <w:rFonts w:cstheme="minorHAnsi"/>
              </w:rPr>
              <w:t>AQF</w:t>
            </w:r>
          </w:p>
        </w:tc>
        <w:tc>
          <w:tcPr>
            <w:tcW w:w="7953" w:type="dxa"/>
            <w:shd w:val="clear" w:color="auto" w:fill="auto"/>
          </w:tcPr>
          <w:p w14:paraId="45BF8DEA" w14:textId="77777777" w:rsidR="00983AE6" w:rsidRPr="0050179D" w:rsidRDefault="00983AE6" w:rsidP="005F300B">
            <w:pPr>
              <w:spacing w:after="0"/>
              <w:rPr>
                <w:rFonts w:cstheme="minorHAnsi"/>
              </w:rPr>
            </w:pPr>
            <w:r w:rsidRPr="0050179D">
              <w:rPr>
                <w:rFonts w:cstheme="minorHAnsi"/>
              </w:rPr>
              <w:t>Australian Qualifications Framework</w:t>
            </w:r>
          </w:p>
        </w:tc>
      </w:tr>
      <w:tr w:rsidR="00983AE6" w:rsidRPr="00736F23" w14:paraId="09BC03EE" w14:textId="77777777" w:rsidTr="00AF0B69">
        <w:trPr>
          <w:cantSplit/>
          <w:trHeight w:val="306"/>
        </w:trPr>
        <w:tc>
          <w:tcPr>
            <w:tcW w:w="1333" w:type="dxa"/>
            <w:shd w:val="clear" w:color="auto" w:fill="auto"/>
          </w:tcPr>
          <w:p w14:paraId="7C4E30CA" w14:textId="77777777" w:rsidR="00983AE6" w:rsidRPr="0050179D" w:rsidRDefault="00983AE6" w:rsidP="005F300B">
            <w:pPr>
              <w:spacing w:after="0"/>
              <w:rPr>
                <w:rFonts w:cstheme="minorHAnsi"/>
              </w:rPr>
            </w:pPr>
            <w:r w:rsidRPr="0050179D">
              <w:rPr>
                <w:rFonts w:cstheme="minorHAnsi"/>
              </w:rPr>
              <w:t>ASQA</w:t>
            </w:r>
          </w:p>
        </w:tc>
        <w:tc>
          <w:tcPr>
            <w:tcW w:w="7953" w:type="dxa"/>
            <w:shd w:val="clear" w:color="auto" w:fill="auto"/>
          </w:tcPr>
          <w:p w14:paraId="5EB2BAFA" w14:textId="77777777" w:rsidR="00983AE6" w:rsidRPr="0050179D" w:rsidRDefault="00983AE6" w:rsidP="005F300B">
            <w:pPr>
              <w:spacing w:after="0"/>
              <w:rPr>
                <w:rFonts w:cstheme="minorHAnsi"/>
              </w:rPr>
            </w:pPr>
            <w:r w:rsidRPr="0050179D">
              <w:rPr>
                <w:rFonts w:cstheme="minorHAnsi"/>
              </w:rPr>
              <w:t>Australian Skills Quality Authority</w:t>
            </w:r>
          </w:p>
        </w:tc>
      </w:tr>
      <w:tr w:rsidR="00983AE6" w:rsidRPr="00736F23" w14:paraId="4592CAEE" w14:textId="77777777" w:rsidTr="00AF0B69">
        <w:trPr>
          <w:cantSplit/>
          <w:trHeight w:val="306"/>
        </w:trPr>
        <w:tc>
          <w:tcPr>
            <w:tcW w:w="1333" w:type="dxa"/>
            <w:shd w:val="clear" w:color="auto" w:fill="auto"/>
          </w:tcPr>
          <w:p w14:paraId="0CEF85A6" w14:textId="77777777" w:rsidR="00983AE6" w:rsidRPr="0050179D" w:rsidRDefault="00983AE6" w:rsidP="005F300B">
            <w:pPr>
              <w:spacing w:after="0"/>
              <w:rPr>
                <w:rFonts w:cstheme="minorHAnsi"/>
              </w:rPr>
            </w:pPr>
            <w:r w:rsidRPr="0050179D">
              <w:rPr>
                <w:rFonts w:cstheme="minorHAnsi"/>
              </w:rPr>
              <w:t>ATO</w:t>
            </w:r>
          </w:p>
        </w:tc>
        <w:tc>
          <w:tcPr>
            <w:tcW w:w="7953" w:type="dxa"/>
            <w:shd w:val="clear" w:color="auto" w:fill="auto"/>
          </w:tcPr>
          <w:p w14:paraId="5BE6F005" w14:textId="77777777" w:rsidR="00983AE6" w:rsidRPr="0050179D" w:rsidRDefault="00983AE6" w:rsidP="005F300B">
            <w:pPr>
              <w:spacing w:after="0"/>
              <w:rPr>
                <w:rFonts w:cstheme="minorHAnsi"/>
              </w:rPr>
            </w:pPr>
            <w:r w:rsidRPr="0050179D">
              <w:rPr>
                <w:rFonts w:cstheme="minorHAnsi"/>
              </w:rPr>
              <w:t>Australian Taxation Office</w:t>
            </w:r>
          </w:p>
        </w:tc>
      </w:tr>
      <w:tr w:rsidR="00983AE6" w:rsidRPr="00736F23" w14:paraId="2D1FBF54" w14:textId="77777777" w:rsidTr="00AF0B69">
        <w:trPr>
          <w:cantSplit/>
          <w:trHeight w:val="306"/>
        </w:trPr>
        <w:tc>
          <w:tcPr>
            <w:tcW w:w="1333" w:type="dxa"/>
            <w:shd w:val="clear" w:color="auto" w:fill="auto"/>
          </w:tcPr>
          <w:p w14:paraId="2B7FE182" w14:textId="77777777" w:rsidR="00983AE6" w:rsidRPr="0050179D" w:rsidRDefault="00983AE6" w:rsidP="005F300B">
            <w:pPr>
              <w:spacing w:after="0"/>
              <w:rPr>
                <w:rFonts w:cstheme="minorHAnsi"/>
              </w:rPr>
            </w:pPr>
            <w:r w:rsidRPr="0050179D">
              <w:rPr>
                <w:rFonts w:cstheme="minorHAnsi"/>
              </w:rPr>
              <w:t>business day</w:t>
            </w:r>
          </w:p>
        </w:tc>
        <w:tc>
          <w:tcPr>
            <w:tcW w:w="7953" w:type="dxa"/>
            <w:shd w:val="clear" w:color="auto" w:fill="auto"/>
          </w:tcPr>
          <w:p w14:paraId="63FAF1EB" w14:textId="77777777" w:rsidR="00983AE6" w:rsidRPr="0050179D" w:rsidRDefault="00983AE6" w:rsidP="005F300B">
            <w:pPr>
              <w:spacing w:after="0"/>
              <w:rPr>
                <w:rFonts w:cstheme="minorHAnsi"/>
              </w:rPr>
            </w:pPr>
            <w:r w:rsidRPr="0050179D">
              <w:rPr>
                <w:rFonts w:cstheme="minorHAnsi"/>
              </w:rPr>
              <w:t>any day other than a Saturday, a Sunday, or a public holiday in the place in which the relevant act is to be or may be done</w:t>
            </w:r>
          </w:p>
        </w:tc>
      </w:tr>
      <w:tr w:rsidR="00983AE6" w:rsidRPr="00736F23" w14:paraId="0BA9FC48" w14:textId="77777777" w:rsidTr="00AF0B69">
        <w:trPr>
          <w:cantSplit/>
          <w:trHeight w:val="306"/>
        </w:trPr>
        <w:tc>
          <w:tcPr>
            <w:tcW w:w="1333" w:type="dxa"/>
            <w:shd w:val="clear" w:color="auto" w:fill="auto"/>
          </w:tcPr>
          <w:p w14:paraId="35FBD621" w14:textId="77777777" w:rsidR="00983AE6" w:rsidRPr="0050179D" w:rsidRDefault="00983AE6" w:rsidP="005F300B">
            <w:pPr>
              <w:spacing w:after="0"/>
              <w:rPr>
                <w:rFonts w:cstheme="minorHAnsi"/>
              </w:rPr>
            </w:pPr>
            <w:r w:rsidRPr="0050179D">
              <w:rPr>
                <w:rFonts w:cstheme="minorHAnsi"/>
              </w:rPr>
              <w:t>CAN</w:t>
            </w:r>
          </w:p>
        </w:tc>
        <w:tc>
          <w:tcPr>
            <w:tcW w:w="7953" w:type="dxa"/>
            <w:shd w:val="clear" w:color="auto" w:fill="auto"/>
          </w:tcPr>
          <w:p w14:paraId="195276F3" w14:textId="77777777" w:rsidR="00983AE6" w:rsidRPr="0050179D" w:rsidRDefault="00983AE6" w:rsidP="005F300B">
            <w:pPr>
              <w:spacing w:after="0"/>
              <w:rPr>
                <w:rFonts w:cstheme="minorHAnsi"/>
              </w:rPr>
            </w:pPr>
            <w:r w:rsidRPr="0050179D">
              <w:rPr>
                <w:rFonts w:cstheme="minorHAnsi"/>
              </w:rPr>
              <w:t>Commonwealth Assistance Notice</w:t>
            </w:r>
          </w:p>
        </w:tc>
      </w:tr>
      <w:tr w:rsidR="00983AE6" w:rsidRPr="00736F23" w14:paraId="00571FCB" w14:textId="77777777" w:rsidTr="00AF0B69">
        <w:trPr>
          <w:cantSplit/>
          <w:trHeight w:val="306"/>
        </w:trPr>
        <w:tc>
          <w:tcPr>
            <w:tcW w:w="1333" w:type="dxa"/>
            <w:shd w:val="clear" w:color="auto" w:fill="auto"/>
          </w:tcPr>
          <w:p w14:paraId="13400BE2" w14:textId="77777777" w:rsidR="00983AE6" w:rsidRPr="0050179D" w:rsidRDefault="00983AE6" w:rsidP="005F300B">
            <w:pPr>
              <w:spacing w:after="0"/>
              <w:rPr>
                <w:rFonts w:cstheme="minorHAnsi"/>
              </w:rPr>
            </w:pPr>
            <w:r w:rsidRPr="0050179D">
              <w:rPr>
                <w:rFonts w:cstheme="minorHAnsi"/>
              </w:rPr>
              <w:t>census day</w:t>
            </w:r>
          </w:p>
        </w:tc>
        <w:tc>
          <w:tcPr>
            <w:tcW w:w="7953" w:type="dxa"/>
            <w:shd w:val="clear" w:color="auto" w:fill="auto"/>
          </w:tcPr>
          <w:p w14:paraId="1B1499A5" w14:textId="03FC9919" w:rsidR="00983AE6" w:rsidRPr="0050179D" w:rsidRDefault="00983AE6" w:rsidP="005F300B">
            <w:pPr>
              <w:spacing w:after="0"/>
              <w:rPr>
                <w:rFonts w:cstheme="minorHAnsi"/>
              </w:rPr>
            </w:pPr>
            <w:r w:rsidRPr="0050179D">
              <w:rPr>
                <w:rFonts w:cstheme="minorHAnsi"/>
              </w:rPr>
              <w:t>a date by which enrolment may be cancelled without incurring tuition fees (or a HELP or VET Student Loans debt) for the course or the part of the course</w:t>
            </w:r>
            <w:r w:rsidR="00BF7D35">
              <w:rPr>
                <w:rFonts w:cstheme="minorHAnsi"/>
              </w:rPr>
              <w:t>. See also section on census days in this manual.</w:t>
            </w:r>
          </w:p>
        </w:tc>
      </w:tr>
      <w:tr w:rsidR="00983AE6" w:rsidRPr="00736F23" w14:paraId="60CFBD8F" w14:textId="77777777" w:rsidTr="00AF0B69">
        <w:trPr>
          <w:cantSplit/>
          <w:trHeight w:val="306"/>
        </w:trPr>
        <w:tc>
          <w:tcPr>
            <w:tcW w:w="1333" w:type="dxa"/>
            <w:shd w:val="clear" w:color="auto" w:fill="auto"/>
          </w:tcPr>
          <w:p w14:paraId="296B61D9" w14:textId="77777777" w:rsidR="00983AE6" w:rsidRPr="0050179D" w:rsidRDefault="00983AE6" w:rsidP="005F300B">
            <w:pPr>
              <w:spacing w:after="0"/>
              <w:rPr>
                <w:rFonts w:cstheme="minorHAnsi"/>
              </w:rPr>
            </w:pPr>
            <w:r w:rsidRPr="0050179D">
              <w:rPr>
                <w:rFonts w:cstheme="minorHAnsi"/>
              </w:rPr>
              <w:t>CHESSN</w:t>
            </w:r>
          </w:p>
        </w:tc>
        <w:tc>
          <w:tcPr>
            <w:tcW w:w="7953" w:type="dxa"/>
            <w:shd w:val="clear" w:color="auto" w:fill="auto"/>
          </w:tcPr>
          <w:p w14:paraId="17959708" w14:textId="77777777" w:rsidR="00983AE6" w:rsidRPr="0050179D" w:rsidRDefault="00983AE6" w:rsidP="005F300B">
            <w:pPr>
              <w:spacing w:after="0"/>
              <w:rPr>
                <w:rFonts w:cstheme="minorHAnsi"/>
              </w:rPr>
            </w:pPr>
            <w:r w:rsidRPr="0050179D">
              <w:rPr>
                <w:rFonts w:cstheme="minorHAnsi"/>
              </w:rPr>
              <w:t>Commonwealth Higher Education Student Support Number</w:t>
            </w:r>
          </w:p>
        </w:tc>
      </w:tr>
      <w:tr w:rsidR="00983AE6" w:rsidRPr="00736F23" w14:paraId="5CE2982C" w14:textId="77777777" w:rsidTr="00AF0B69">
        <w:trPr>
          <w:cantSplit/>
          <w:trHeight w:val="306"/>
        </w:trPr>
        <w:tc>
          <w:tcPr>
            <w:tcW w:w="1333" w:type="dxa"/>
            <w:shd w:val="clear" w:color="auto" w:fill="auto"/>
          </w:tcPr>
          <w:p w14:paraId="1CA804DF" w14:textId="77777777" w:rsidR="00983AE6" w:rsidRPr="0050179D" w:rsidRDefault="00983AE6" w:rsidP="005F300B">
            <w:pPr>
              <w:spacing w:after="0"/>
              <w:rPr>
                <w:rFonts w:cstheme="minorHAnsi"/>
              </w:rPr>
            </w:pPr>
            <w:r w:rsidRPr="0050179D">
              <w:rPr>
                <w:rFonts w:cstheme="minorHAnsi"/>
              </w:rPr>
              <w:t>Course</w:t>
            </w:r>
          </w:p>
        </w:tc>
        <w:tc>
          <w:tcPr>
            <w:tcW w:w="7953" w:type="dxa"/>
            <w:shd w:val="clear" w:color="auto" w:fill="auto"/>
          </w:tcPr>
          <w:p w14:paraId="74CFA464" w14:textId="77777777" w:rsidR="00983AE6" w:rsidRPr="0050179D" w:rsidRDefault="00983AE6" w:rsidP="005F300B">
            <w:pPr>
              <w:spacing w:after="0"/>
              <w:rPr>
                <w:rFonts w:cstheme="minorHAnsi"/>
              </w:rPr>
            </w:pPr>
            <w:r w:rsidRPr="0050179D">
              <w:rPr>
                <w:rFonts w:cstheme="minorHAnsi"/>
              </w:rPr>
              <w:t xml:space="preserve">A course listed in the VET Student Loans (Courses and Loan Caps) Determination 2016 </w:t>
            </w:r>
          </w:p>
        </w:tc>
      </w:tr>
      <w:tr w:rsidR="00983AE6" w:rsidRPr="00736F23" w14:paraId="664AACD4" w14:textId="77777777" w:rsidTr="00AF0B69">
        <w:trPr>
          <w:cantSplit/>
          <w:trHeight w:val="306"/>
        </w:trPr>
        <w:tc>
          <w:tcPr>
            <w:tcW w:w="1333" w:type="dxa"/>
            <w:shd w:val="clear" w:color="auto" w:fill="auto"/>
          </w:tcPr>
          <w:p w14:paraId="7BF4B5F5" w14:textId="77777777" w:rsidR="00983AE6" w:rsidRPr="0050179D" w:rsidRDefault="00983AE6" w:rsidP="005F300B">
            <w:pPr>
              <w:spacing w:after="0"/>
              <w:rPr>
                <w:rFonts w:cstheme="minorHAnsi"/>
              </w:rPr>
            </w:pPr>
            <w:r w:rsidRPr="0050179D">
              <w:rPr>
                <w:rFonts w:cstheme="minorHAnsi"/>
              </w:rPr>
              <w:t>Department</w:t>
            </w:r>
          </w:p>
        </w:tc>
        <w:tc>
          <w:tcPr>
            <w:tcW w:w="7953" w:type="dxa"/>
            <w:shd w:val="clear" w:color="auto" w:fill="auto"/>
          </w:tcPr>
          <w:p w14:paraId="75F5805F" w14:textId="77777777" w:rsidR="00983AE6" w:rsidRPr="0050179D" w:rsidRDefault="00983AE6" w:rsidP="005F300B">
            <w:pPr>
              <w:spacing w:after="0"/>
              <w:rPr>
                <w:rFonts w:cstheme="minorHAnsi"/>
              </w:rPr>
            </w:pPr>
            <w:r w:rsidRPr="0050179D">
              <w:rPr>
                <w:rFonts w:cstheme="minorHAnsi"/>
              </w:rPr>
              <w:t>Commonwealth Department of Education and Training</w:t>
            </w:r>
          </w:p>
        </w:tc>
      </w:tr>
      <w:tr w:rsidR="00983AE6" w:rsidRPr="00736F23" w14:paraId="0AFAE215" w14:textId="77777777" w:rsidTr="00AF0B69">
        <w:trPr>
          <w:cantSplit/>
          <w:trHeight w:val="306"/>
        </w:trPr>
        <w:tc>
          <w:tcPr>
            <w:tcW w:w="1333" w:type="dxa"/>
            <w:shd w:val="clear" w:color="auto" w:fill="auto"/>
          </w:tcPr>
          <w:p w14:paraId="59D525A5" w14:textId="77777777" w:rsidR="00983AE6" w:rsidRPr="0050179D" w:rsidRDefault="00983AE6" w:rsidP="005F300B">
            <w:pPr>
              <w:spacing w:after="0"/>
              <w:rPr>
                <w:rFonts w:cstheme="minorHAnsi"/>
              </w:rPr>
            </w:pPr>
            <w:r w:rsidRPr="0050179D">
              <w:rPr>
                <w:rFonts w:cstheme="minorHAnsi"/>
              </w:rPr>
              <w:t>EFTSL</w:t>
            </w:r>
          </w:p>
        </w:tc>
        <w:tc>
          <w:tcPr>
            <w:tcW w:w="7953" w:type="dxa"/>
            <w:shd w:val="clear" w:color="auto" w:fill="auto"/>
          </w:tcPr>
          <w:p w14:paraId="6112029B" w14:textId="77777777" w:rsidR="00983AE6" w:rsidRPr="0050179D" w:rsidRDefault="00983AE6" w:rsidP="005F300B">
            <w:pPr>
              <w:spacing w:after="0"/>
              <w:rPr>
                <w:rFonts w:cstheme="minorHAnsi"/>
              </w:rPr>
            </w:pPr>
            <w:r w:rsidRPr="0050179D">
              <w:rPr>
                <w:rFonts w:cstheme="minorHAnsi"/>
              </w:rPr>
              <w:t>Equivalent full-time student load,</w:t>
            </w:r>
          </w:p>
        </w:tc>
      </w:tr>
      <w:tr w:rsidR="00983AE6" w:rsidRPr="00736F23" w14:paraId="1CBE4848" w14:textId="77777777" w:rsidTr="00AF0B69">
        <w:trPr>
          <w:cantSplit/>
          <w:trHeight w:val="306"/>
        </w:trPr>
        <w:tc>
          <w:tcPr>
            <w:tcW w:w="1333" w:type="dxa"/>
            <w:shd w:val="clear" w:color="auto" w:fill="auto"/>
          </w:tcPr>
          <w:p w14:paraId="55BFF713" w14:textId="77777777" w:rsidR="00983AE6" w:rsidRPr="0050179D" w:rsidRDefault="00983AE6" w:rsidP="005F300B">
            <w:pPr>
              <w:spacing w:after="0"/>
              <w:rPr>
                <w:rFonts w:cstheme="minorHAnsi"/>
              </w:rPr>
            </w:pPr>
            <w:r w:rsidRPr="0050179D">
              <w:rPr>
                <w:rFonts w:cstheme="minorHAnsi"/>
              </w:rPr>
              <w:t>ETA</w:t>
            </w:r>
          </w:p>
        </w:tc>
        <w:tc>
          <w:tcPr>
            <w:tcW w:w="7953" w:type="dxa"/>
            <w:shd w:val="clear" w:color="auto" w:fill="auto"/>
          </w:tcPr>
          <w:p w14:paraId="40767DA0" w14:textId="77777777" w:rsidR="00983AE6" w:rsidRPr="002C6614" w:rsidRDefault="00983AE6" w:rsidP="005F300B">
            <w:pPr>
              <w:spacing w:after="0"/>
              <w:rPr>
                <w:rFonts w:cstheme="minorHAnsi"/>
                <w:i/>
              </w:rPr>
            </w:pPr>
            <w:r w:rsidRPr="002C6614">
              <w:rPr>
                <w:rFonts w:cstheme="minorHAnsi"/>
                <w:i/>
              </w:rPr>
              <w:t>Electronic Transactions Act 1999</w:t>
            </w:r>
          </w:p>
        </w:tc>
      </w:tr>
      <w:tr w:rsidR="00983AE6" w:rsidRPr="00736F23" w14:paraId="4B1DB30B" w14:textId="77777777" w:rsidTr="00AF0B69">
        <w:trPr>
          <w:cantSplit/>
          <w:trHeight w:val="306"/>
        </w:trPr>
        <w:tc>
          <w:tcPr>
            <w:tcW w:w="1333" w:type="dxa"/>
            <w:shd w:val="clear" w:color="auto" w:fill="auto"/>
          </w:tcPr>
          <w:p w14:paraId="4AE7ADE0" w14:textId="77777777" w:rsidR="00983AE6" w:rsidRPr="0050179D" w:rsidRDefault="00983AE6" w:rsidP="005F300B">
            <w:pPr>
              <w:spacing w:after="0"/>
              <w:rPr>
                <w:rFonts w:cstheme="minorHAnsi"/>
              </w:rPr>
            </w:pPr>
            <w:r w:rsidRPr="0050179D">
              <w:rPr>
                <w:rFonts w:cstheme="minorHAnsi"/>
              </w:rPr>
              <w:t>HEIMS</w:t>
            </w:r>
          </w:p>
        </w:tc>
        <w:tc>
          <w:tcPr>
            <w:tcW w:w="7953" w:type="dxa"/>
            <w:shd w:val="clear" w:color="auto" w:fill="auto"/>
          </w:tcPr>
          <w:p w14:paraId="35063B4C" w14:textId="77777777" w:rsidR="00983AE6" w:rsidRPr="0050179D" w:rsidRDefault="00983AE6" w:rsidP="005F300B">
            <w:pPr>
              <w:spacing w:after="0"/>
              <w:rPr>
                <w:rFonts w:cstheme="minorHAnsi"/>
              </w:rPr>
            </w:pPr>
            <w:r w:rsidRPr="0050179D">
              <w:rPr>
                <w:rFonts w:cstheme="minorHAnsi"/>
              </w:rPr>
              <w:t>Higher Education Information Management System</w:t>
            </w:r>
          </w:p>
        </w:tc>
      </w:tr>
      <w:tr w:rsidR="00983AE6" w:rsidRPr="00736F23" w14:paraId="258003B1" w14:textId="77777777" w:rsidTr="00AF0B69">
        <w:trPr>
          <w:cantSplit/>
          <w:trHeight w:val="306"/>
        </w:trPr>
        <w:tc>
          <w:tcPr>
            <w:tcW w:w="1333" w:type="dxa"/>
            <w:shd w:val="clear" w:color="auto" w:fill="auto"/>
          </w:tcPr>
          <w:p w14:paraId="4D6A7E11" w14:textId="77777777" w:rsidR="00983AE6" w:rsidRPr="0050179D" w:rsidRDefault="00983AE6" w:rsidP="005F300B">
            <w:pPr>
              <w:spacing w:after="0"/>
              <w:rPr>
                <w:rFonts w:cstheme="minorHAnsi"/>
              </w:rPr>
            </w:pPr>
            <w:r w:rsidRPr="0050179D">
              <w:rPr>
                <w:rFonts w:cstheme="minorHAnsi"/>
              </w:rPr>
              <w:lastRenderedPageBreak/>
              <w:t>HEPCAT</w:t>
            </w:r>
          </w:p>
        </w:tc>
        <w:tc>
          <w:tcPr>
            <w:tcW w:w="7953" w:type="dxa"/>
            <w:shd w:val="clear" w:color="auto" w:fill="auto"/>
          </w:tcPr>
          <w:p w14:paraId="0973408C" w14:textId="77777777" w:rsidR="00983AE6" w:rsidRPr="0050179D" w:rsidRDefault="00983AE6" w:rsidP="005F300B">
            <w:pPr>
              <w:spacing w:after="0"/>
              <w:rPr>
                <w:rFonts w:cstheme="minorHAnsi"/>
              </w:rPr>
            </w:pPr>
            <w:r w:rsidRPr="0050179D">
              <w:rPr>
                <w:rFonts w:cstheme="minorHAnsi"/>
              </w:rPr>
              <w:t>Higher Education Provider Client Assistance Tool</w:t>
            </w:r>
          </w:p>
        </w:tc>
      </w:tr>
      <w:tr w:rsidR="00983AE6" w:rsidRPr="00736F23" w14:paraId="28B75D12" w14:textId="77777777" w:rsidTr="00AF0B69">
        <w:trPr>
          <w:cantSplit/>
          <w:trHeight w:val="306"/>
        </w:trPr>
        <w:tc>
          <w:tcPr>
            <w:tcW w:w="1333" w:type="dxa"/>
            <w:shd w:val="clear" w:color="auto" w:fill="auto"/>
          </w:tcPr>
          <w:p w14:paraId="3B1A660F" w14:textId="77777777" w:rsidR="00983AE6" w:rsidRPr="0050179D" w:rsidRDefault="00983AE6" w:rsidP="005F300B">
            <w:pPr>
              <w:spacing w:after="0"/>
              <w:rPr>
                <w:rFonts w:cstheme="minorHAnsi"/>
              </w:rPr>
            </w:pPr>
            <w:r w:rsidRPr="0050179D">
              <w:rPr>
                <w:rFonts w:cstheme="minorHAnsi"/>
              </w:rPr>
              <w:t>HESA</w:t>
            </w:r>
          </w:p>
        </w:tc>
        <w:tc>
          <w:tcPr>
            <w:tcW w:w="7953" w:type="dxa"/>
            <w:shd w:val="clear" w:color="auto" w:fill="auto"/>
          </w:tcPr>
          <w:p w14:paraId="7ECA0F3C" w14:textId="77777777" w:rsidR="00983AE6" w:rsidRPr="002C6614" w:rsidRDefault="00983AE6" w:rsidP="005F300B">
            <w:pPr>
              <w:spacing w:after="0"/>
              <w:rPr>
                <w:rFonts w:cstheme="minorHAnsi"/>
                <w:i/>
              </w:rPr>
            </w:pPr>
            <w:r w:rsidRPr="002C6614">
              <w:rPr>
                <w:rFonts w:cstheme="minorHAnsi"/>
                <w:i/>
              </w:rPr>
              <w:t>Higher Education Support Act 2003</w:t>
            </w:r>
          </w:p>
        </w:tc>
      </w:tr>
      <w:tr w:rsidR="00983AE6" w:rsidRPr="00736F23" w14:paraId="1605848F" w14:textId="77777777" w:rsidTr="00AF0B69">
        <w:trPr>
          <w:cantSplit/>
          <w:trHeight w:val="306"/>
        </w:trPr>
        <w:tc>
          <w:tcPr>
            <w:tcW w:w="1333" w:type="dxa"/>
            <w:shd w:val="clear" w:color="auto" w:fill="auto"/>
          </w:tcPr>
          <w:p w14:paraId="1D7A4126" w14:textId="77777777" w:rsidR="00983AE6" w:rsidRPr="0050179D" w:rsidRDefault="00983AE6" w:rsidP="005F300B">
            <w:pPr>
              <w:spacing w:after="0"/>
              <w:rPr>
                <w:rFonts w:cstheme="minorHAnsi"/>
              </w:rPr>
            </w:pPr>
            <w:r w:rsidRPr="0050179D">
              <w:rPr>
                <w:rFonts w:cstheme="minorHAnsi"/>
              </w:rPr>
              <w:t>HITS</w:t>
            </w:r>
          </w:p>
        </w:tc>
        <w:tc>
          <w:tcPr>
            <w:tcW w:w="7953" w:type="dxa"/>
            <w:shd w:val="clear" w:color="auto" w:fill="auto"/>
          </w:tcPr>
          <w:p w14:paraId="76221ED3" w14:textId="77777777" w:rsidR="00983AE6" w:rsidRPr="0050179D" w:rsidRDefault="00983AE6" w:rsidP="005F300B">
            <w:pPr>
              <w:spacing w:after="0"/>
              <w:rPr>
                <w:rFonts w:cstheme="minorHAnsi"/>
              </w:rPr>
            </w:pPr>
            <w:r w:rsidRPr="0050179D">
              <w:rPr>
                <w:rFonts w:cstheme="minorHAnsi"/>
              </w:rPr>
              <w:t>HELP Information Technology System</w:t>
            </w:r>
          </w:p>
        </w:tc>
      </w:tr>
      <w:tr w:rsidR="000F558C" w:rsidRPr="00736F23" w14:paraId="2FC2BCA5" w14:textId="77777777" w:rsidTr="00AF0B69">
        <w:trPr>
          <w:cantSplit/>
          <w:trHeight w:val="306"/>
        </w:trPr>
        <w:tc>
          <w:tcPr>
            <w:tcW w:w="1333" w:type="dxa"/>
            <w:shd w:val="clear" w:color="auto" w:fill="auto"/>
          </w:tcPr>
          <w:p w14:paraId="5C4AA898" w14:textId="7B744D0D" w:rsidR="000F558C" w:rsidRPr="0050179D" w:rsidRDefault="000F558C" w:rsidP="005F300B">
            <w:pPr>
              <w:spacing w:after="0"/>
              <w:rPr>
                <w:rFonts w:cstheme="minorHAnsi"/>
              </w:rPr>
            </w:pPr>
            <w:r>
              <w:rPr>
                <w:rFonts w:cstheme="minorHAnsi"/>
              </w:rPr>
              <w:t>Listed Course Provider</w:t>
            </w:r>
          </w:p>
        </w:tc>
        <w:tc>
          <w:tcPr>
            <w:tcW w:w="7953" w:type="dxa"/>
            <w:shd w:val="clear" w:color="auto" w:fill="auto"/>
          </w:tcPr>
          <w:p w14:paraId="3732B7D2" w14:textId="2B999081" w:rsidR="000F558C" w:rsidRPr="0050179D" w:rsidRDefault="00703812" w:rsidP="005F300B">
            <w:pPr>
              <w:spacing w:after="0"/>
              <w:rPr>
                <w:rFonts w:cstheme="minorHAnsi"/>
              </w:rPr>
            </w:pPr>
            <w:r>
              <w:rPr>
                <w:rFonts w:cstheme="minorHAnsi"/>
              </w:rPr>
              <w:t xml:space="preserve">Refer s27 </w:t>
            </w:r>
            <w:r w:rsidRPr="00703812">
              <w:rPr>
                <w:rFonts w:cstheme="minorHAnsi"/>
                <w:i/>
              </w:rPr>
              <w:t>VET Student Loans Act 2016</w:t>
            </w:r>
            <w:r>
              <w:rPr>
                <w:rFonts w:cstheme="minorHAnsi"/>
              </w:rPr>
              <w:t>:  an RTO that is a Table A or Table B provider (HESA), a TAFE established under State or Territory legislation or a training organisation owned by the Commonwealth, a State or Territory or body specified in the rules.</w:t>
            </w:r>
          </w:p>
        </w:tc>
      </w:tr>
      <w:tr w:rsidR="00983AE6" w:rsidRPr="00736F23" w14:paraId="39AA151C" w14:textId="77777777" w:rsidTr="00AF0B69">
        <w:trPr>
          <w:cantSplit/>
          <w:trHeight w:val="306"/>
        </w:trPr>
        <w:tc>
          <w:tcPr>
            <w:tcW w:w="1333" w:type="dxa"/>
            <w:shd w:val="clear" w:color="auto" w:fill="auto"/>
          </w:tcPr>
          <w:p w14:paraId="6CBB17D2" w14:textId="77777777" w:rsidR="00983AE6" w:rsidRPr="0050179D" w:rsidRDefault="00983AE6" w:rsidP="005F300B">
            <w:pPr>
              <w:spacing w:after="0"/>
              <w:rPr>
                <w:rFonts w:cstheme="minorHAnsi"/>
              </w:rPr>
            </w:pPr>
            <w:r w:rsidRPr="0050179D">
              <w:rPr>
                <w:rFonts w:cstheme="minorHAnsi"/>
              </w:rPr>
              <w:t xml:space="preserve">Minister </w:t>
            </w:r>
          </w:p>
        </w:tc>
        <w:tc>
          <w:tcPr>
            <w:tcW w:w="7953" w:type="dxa"/>
            <w:shd w:val="clear" w:color="auto" w:fill="auto"/>
          </w:tcPr>
          <w:p w14:paraId="608DC421" w14:textId="77777777" w:rsidR="00983AE6" w:rsidRPr="0050179D" w:rsidRDefault="00983AE6" w:rsidP="005F300B">
            <w:pPr>
              <w:spacing w:after="0"/>
              <w:rPr>
                <w:rFonts w:cstheme="minorHAnsi"/>
              </w:rPr>
            </w:pPr>
            <w:r w:rsidRPr="0050179D">
              <w:rPr>
                <w:rFonts w:cstheme="minorHAnsi"/>
              </w:rPr>
              <w:t>The Minister responsible for the administration of VET Student Loans</w:t>
            </w:r>
          </w:p>
        </w:tc>
      </w:tr>
      <w:tr w:rsidR="00983AE6" w:rsidRPr="00736F23" w14:paraId="3AC1D454" w14:textId="77777777" w:rsidTr="00AF0B69">
        <w:trPr>
          <w:cantSplit/>
          <w:trHeight w:val="306"/>
        </w:trPr>
        <w:tc>
          <w:tcPr>
            <w:tcW w:w="1333" w:type="dxa"/>
            <w:shd w:val="clear" w:color="auto" w:fill="auto"/>
          </w:tcPr>
          <w:p w14:paraId="4CF894F5" w14:textId="77777777" w:rsidR="00983AE6" w:rsidRPr="0050179D" w:rsidRDefault="00983AE6" w:rsidP="005F300B">
            <w:pPr>
              <w:spacing w:after="0"/>
              <w:rPr>
                <w:rFonts w:cstheme="minorHAnsi"/>
              </w:rPr>
            </w:pPr>
            <w:r w:rsidRPr="0050179D">
              <w:rPr>
                <w:rFonts w:cstheme="minorHAnsi"/>
              </w:rPr>
              <w:t>NVR</w:t>
            </w:r>
          </w:p>
        </w:tc>
        <w:tc>
          <w:tcPr>
            <w:tcW w:w="7953" w:type="dxa"/>
            <w:shd w:val="clear" w:color="auto" w:fill="auto"/>
          </w:tcPr>
          <w:p w14:paraId="77776746" w14:textId="77777777" w:rsidR="00983AE6" w:rsidRPr="0050179D" w:rsidRDefault="00983AE6" w:rsidP="005F300B">
            <w:pPr>
              <w:spacing w:after="0"/>
              <w:rPr>
                <w:rFonts w:cstheme="minorHAnsi"/>
              </w:rPr>
            </w:pPr>
            <w:r w:rsidRPr="0050179D">
              <w:rPr>
                <w:rFonts w:cstheme="minorHAnsi"/>
              </w:rPr>
              <w:t>National VET Regulator, or ASQA</w:t>
            </w:r>
          </w:p>
        </w:tc>
      </w:tr>
      <w:tr w:rsidR="00983AE6" w:rsidRPr="00736F23" w14:paraId="51726FD0" w14:textId="77777777" w:rsidTr="00AF0B69">
        <w:trPr>
          <w:cantSplit/>
          <w:trHeight w:val="306"/>
        </w:trPr>
        <w:tc>
          <w:tcPr>
            <w:tcW w:w="1333" w:type="dxa"/>
            <w:shd w:val="clear" w:color="auto" w:fill="auto"/>
          </w:tcPr>
          <w:p w14:paraId="38FB6392" w14:textId="77777777" w:rsidR="00983AE6" w:rsidRPr="0050179D" w:rsidRDefault="00983AE6" w:rsidP="005F300B">
            <w:pPr>
              <w:spacing w:after="0"/>
              <w:rPr>
                <w:rFonts w:cstheme="minorHAnsi"/>
              </w:rPr>
            </w:pPr>
            <w:r w:rsidRPr="0050179D">
              <w:rPr>
                <w:rFonts w:cstheme="minorHAnsi"/>
              </w:rPr>
              <w:t>NVR Act</w:t>
            </w:r>
          </w:p>
        </w:tc>
        <w:tc>
          <w:tcPr>
            <w:tcW w:w="7953" w:type="dxa"/>
            <w:shd w:val="clear" w:color="auto" w:fill="auto"/>
          </w:tcPr>
          <w:p w14:paraId="1F27B5B4" w14:textId="77777777" w:rsidR="00983AE6" w:rsidRPr="0050179D" w:rsidRDefault="00983AE6" w:rsidP="005F300B">
            <w:pPr>
              <w:spacing w:after="0"/>
              <w:rPr>
                <w:rFonts w:cstheme="minorHAnsi"/>
              </w:rPr>
            </w:pPr>
            <w:r w:rsidRPr="0050179D">
              <w:rPr>
                <w:rFonts w:cstheme="minorHAnsi"/>
              </w:rPr>
              <w:t>National Vocational Education and Training Regulator Act 2011</w:t>
            </w:r>
          </w:p>
        </w:tc>
      </w:tr>
      <w:tr w:rsidR="00983AE6" w:rsidRPr="00736F23" w14:paraId="1EF8F636" w14:textId="77777777" w:rsidTr="00AF0B69">
        <w:trPr>
          <w:cantSplit/>
          <w:trHeight w:val="306"/>
        </w:trPr>
        <w:tc>
          <w:tcPr>
            <w:tcW w:w="1333" w:type="dxa"/>
            <w:shd w:val="clear" w:color="auto" w:fill="auto"/>
          </w:tcPr>
          <w:p w14:paraId="2E386BF6" w14:textId="77777777" w:rsidR="00983AE6" w:rsidRPr="0050179D" w:rsidRDefault="00983AE6" w:rsidP="005F300B">
            <w:pPr>
              <w:spacing w:after="0"/>
              <w:rPr>
                <w:rFonts w:cstheme="minorHAnsi"/>
              </w:rPr>
            </w:pPr>
            <w:r w:rsidRPr="0050179D">
              <w:rPr>
                <w:rFonts w:cstheme="minorHAnsi"/>
              </w:rPr>
              <w:t>Provider</w:t>
            </w:r>
          </w:p>
        </w:tc>
        <w:tc>
          <w:tcPr>
            <w:tcW w:w="7953" w:type="dxa"/>
            <w:shd w:val="clear" w:color="auto" w:fill="auto"/>
          </w:tcPr>
          <w:p w14:paraId="45927756" w14:textId="77777777" w:rsidR="00983AE6" w:rsidRPr="0050179D" w:rsidRDefault="00983AE6" w:rsidP="005F300B">
            <w:pPr>
              <w:spacing w:after="0"/>
              <w:rPr>
                <w:rFonts w:cstheme="minorHAnsi"/>
              </w:rPr>
            </w:pPr>
            <w:r w:rsidRPr="0050179D">
              <w:rPr>
                <w:rFonts w:cstheme="minorHAnsi"/>
              </w:rPr>
              <w:t xml:space="preserve">A registered training organisation approved as an approved course provider under the </w:t>
            </w:r>
            <w:r w:rsidRPr="007C6B98">
              <w:rPr>
                <w:rFonts w:cstheme="minorHAnsi"/>
                <w:i/>
              </w:rPr>
              <w:t>VET Student Loans Act 2016</w:t>
            </w:r>
            <w:r w:rsidRPr="0050179D">
              <w:rPr>
                <w:rFonts w:cstheme="minorHAnsi"/>
              </w:rPr>
              <w:t xml:space="preserve">. </w:t>
            </w:r>
          </w:p>
        </w:tc>
      </w:tr>
      <w:tr w:rsidR="00983AE6" w:rsidRPr="00736F23" w14:paraId="15B5A6F2" w14:textId="77777777" w:rsidTr="00AF0B69">
        <w:trPr>
          <w:cantSplit/>
          <w:trHeight w:val="306"/>
        </w:trPr>
        <w:tc>
          <w:tcPr>
            <w:tcW w:w="1333" w:type="dxa"/>
            <w:shd w:val="clear" w:color="auto" w:fill="auto"/>
          </w:tcPr>
          <w:p w14:paraId="500A3289" w14:textId="77777777" w:rsidR="00983AE6" w:rsidRPr="0050179D" w:rsidRDefault="00983AE6" w:rsidP="005F300B">
            <w:pPr>
              <w:spacing w:after="0"/>
              <w:rPr>
                <w:rFonts w:cstheme="minorHAnsi"/>
              </w:rPr>
            </w:pPr>
            <w:r w:rsidRPr="0050179D">
              <w:rPr>
                <w:rFonts w:cstheme="minorHAnsi"/>
              </w:rPr>
              <w:t>RTO</w:t>
            </w:r>
          </w:p>
        </w:tc>
        <w:tc>
          <w:tcPr>
            <w:tcW w:w="7953" w:type="dxa"/>
            <w:shd w:val="clear" w:color="auto" w:fill="auto"/>
          </w:tcPr>
          <w:p w14:paraId="32417F19" w14:textId="77777777" w:rsidR="00983AE6" w:rsidRPr="0050179D" w:rsidRDefault="00983AE6" w:rsidP="005F300B">
            <w:pPr>
              <w:spacing w:after="0"/>
              <w:rPr>
                <w:rFonts w:cstheme="minorHAnsi"/>
              </w:rPr>
            </w:pPr>
            <w:r w:rsidRPr="0050179D">
              <w:rPr>
                <w:rFonts w:cstheme="minorHAnsi"/>
              </w:rPr>
              <w:t xml:space="preserve">registered training organisation as listed on the National Register at </w:t>
            </w:r>
            <w:hyperlink r:id="rId34" w:history="1">
              <w:r w:rsidRPr="00AB5285">
                <w:rPr>
                  <w:rStyle w:val="Hyperlink"/>
                  <w:u w:val="single"/>
                </w:rPr>
                <w:t>www.training.gov.au</w:t>
              </w:r>
            </w:hyperlink>
            <w:r w:rsidRPr="0050179D">
              <w:rPr>
                <w:rFonts w:cstheme="minorHAnsi"/>
              </w:rPr>
              <w:t xml:space="preserve"> </w:t>
            </w:r>
          </w:p>
        </w:tc>
      </w:tr>
      <w:tr w:rsidR="00983AE6" w:rsidRPr="00736F23" w14:paraId="15968E83" w14:textId="77777777" w:rsidTr="00AF0B69">
        <w:trPr>
          <w:cantSplit/>
          <w:trHeight w:val="306"/>
        </w:trPr>
        <w:tc>
          <w:tcPr>
            <w:tcW w:w="1333" w:type="dxa"/>
            <w:shd w:val="clear" w:color="auto" w:fill="auto"/>
          </w:tcPr>
          <w:p w14:paraId="74D2429D" w14:textId="77777777" w:rsidR="00983AE6" w:rsidRPr="0050179D" w:rsidRDefault="00983AE6" w:rsidP="005F300B">
            <w:pPr>
              <w:spacing w:after="0"/>
              <w:rPr>
                <w:rFonts w:cstheme="minorHAnsi"/>
              </w:rPr>
            </w:pPr>
            <w:r w:rsidRPr="0050179D">
              <w:rPr>
                <w:rFonts w:cstheme="minorHAnsi"/>
              </w:rPr>
              <w:t>Secretary</w:t>
            </w:r>
          </w:p>
        </w:tc>
        <w:tc>
          <w:tcPr>
            <w:tcW w:w="7953" w:type="dxa"/>
            <w:shd w:val="clear" w:color="auto" w:fill="auto"/>
          </w:tcPr>
          <w:p w14:paraId="415283C9" w14:textId="77777777" w:rsidR="00983AE6" w:rsidRPr="0050179D" w:rsidRDefault="00983AE6" w:rsidP="005F300B">
            <w:pPr>
              <w:spacing w:after="0"/>
              <w:rPr>
                <w:rFonts w:cstheme="minorHAnsi"/>
              </w:rPr>
            </w:pPr>
            <w:r w:rsidRPr="0050179D">
              <w:rPr>
                <w:rFonts w:cstheme="minorHAnsi"/>
              </w:rPr>
              <w:t>a person holding, occupying or performing the duties of the position of Secretary of the department, responsible for the administration of VET Student Loans</w:t>
            </w:r>
          </w:p>
        </w:tc>
      </w:tr>
      <w:tr w:rsidR="00703812" w:rsidRPr="00736F23" w14:paraId="13DD9A27" w14:textId="77777777" w:rsidTr="00AF0B69">
        <w:trPr>
          <w:cantSplit/>
          <w:trHeight w:val="306"/>
        </w:trPr>
        <w:tc>
          <w:tcPr>
            <w:tcW w:w="1333" w:type="dxa"/>
            <w:shd w:val="clear" w:color="auto" w:fill="auto"/>
          </w:tcPr>
          <w:p w14:paraId="5C74B835" w14:textId="1A1012E2" w:rsidR="00703812" w:rsidRPr="0050179D" w:rsidRDefault="00703812" w:rsidP="005F300B">
            <w:pPr>
              <w:spacing w:after="0"/>
              <w:rPr>
                <w:rFonts w:cstheme="minorHAnsi"/>
              </w:rPr>
            </w:pPr>
            <w:r>
              <w:rPr>
                <w:rFonts w:cstheme="minorHAnsi"/>
              </w:rPr>
              <w:t>Table A or Table B provider</w:t>
            </w:r>
          </w:p>
        </w:tc>
        <w:tc>
          <w:tcPr>
            <w:tcW w:w="7953" w:type="dxa"/>
            <w:shd w:val="clear" w:color="auto" w:fill="auto"/>
          </w:tcPr>
          <w:p w14:paraId="684F0248" w14:textId="77777777" w:rsidR="00703812" w:rsidRDefault="00703812" w:rsidP="005F300B">
            <w:pPr>
              <w:spacing w:after="0"/>
              <w:rPr>
                <w:rFonts w:cstheme="minorHAnsi"/>
              </w:rPr>
            </w:pPr>
            <w:r>
              <w:rPr>
                <w:rFonts w:cstheme="minorHAnsi"/>
              </w:rPr>
              <w:t>Refer to the meaning outlined in HESA:</w:t>
            </w:r>
          </w:p>
          <w:p w14:paraId="3AF28B3B" w14:textId="77777777" w:rsidR="00703812" w:rsidRDefault="00703812" w:rsidP="005F300B">
            <w:pPr>
              <w:spacing w:after="0"/>
              <w:rPr>
                <w:rFonts w:cstheme="minorHAnsi"/>
              </w:rPr>
            </w:pPr>
            <w:r>
              <w:rPr>
                <w:rFonts w:cstheme="minorHAnsi"/>
              </w:rPr>
              <w:t>Table A provider – a body listed in Table A in HESA section 16-15.</w:t>
            </w:r>
          </w:p>
          <w:p w14:paraId="04CBA74B" w14:textId="67C1CD18" w:rsidR="00703812" w:rsidRPr="0050179D" w:rsidRDefault="00703812" w:rsidP="005F300B">
            <w:pPr>
              <w:spacing w:after="0"/>
              <w:rPr>
                <w:rFonts w:cstheme="minorHAnsi"/>
              </w:rPr>
            </w:pPr>
            <w:r>
              <w:rPr>
                <w:rFonts w:cstheme="minorHAnsi"/>
              </w:rPr>
              <w:t>Table B provider – a body listed in Table B in HESA section 16-20.</w:t>
            </w:r>
          </w:p>
        </w:tc>
      </w:tr>
      <w:tr w:rsidR="00D2391A" w:rsidRPr="00736F23" w14:paraId="09784740" w14:textId="77777777" w:rsidTr="00AF0B69">
        <w:trPr>
          <w:cantSplit/>
          <w:trHeight w:val="306"/>
        </w:trPr>
        <w:tc>
          <w:tcPr>
            <w:tcW w:w="1333" w:type="dxa"/>
            <w:shd w:val="clear" w:color="auto" w:fill="auto"/>
          </w:tcPr>
          <w:p w14:paraId="4BE5FEEC" w14:textId="77777777" w:rsidR="00D2391A" w:rsidRPr="0050179D" w:rsidRDefault="00D2391A" w:rsidP="005F300B">
            <w:pPr>
              <w:spacing w:after="0"/>
              <w:rPr>
                <w:rFonts w:cstheme="minorHAnsi"/>
              </w:rPr>
            </w:pPr>
            <w:r>
              <w:rPr>
                <w:rFonts w:cstheme="minorHAnsi"/>
              </w:rPr>
              <w:t>TEQSA</w:t>
            </w:r>
          </w:p>
        </w:tc>
        <w:tc>
          <w:tcPr>
            <w:tcW w:w="7953" w:type="dxa"/>
            <w:shd w:val="clear" w:color="auto" w:fill="auto"/>
          </w:tcPr>
          <w:p w14:paraId="51717A93" w14:textId="77777777" w:rsidR="00D2391A" w:rsidRPr="0050179D" w:rsidRDefault="00D2391A" w:rsidP="005F300B">
            <w:pPr>
              <w:spacing w:after="0"/>
              <w:rPr>
                <w:rFonts w:cstheme="minorHAnsi"/>
              </w:rPr>
            </w:pPr>
            <w:r>
              <w:rPr>
                <w:rFonts w:cstheme="minorHAnsi"/>
              </w:rPr>
              <w:t>Tertiary Education Quality</w:t>
            </w:r>
            <w:r w:rsidR="00A91644">
              <w:rPr>
                <w:rFonts w:cstheme="minorHAnsi"/>
              </w:rPr>
              <w:t xml:space="preserve"> and</w:t>
            </w:r>
            <w:r>
              <w:rPr>
                <w:rFonts w:cstheme="minorHAnsi"/>
              </w:rPr>
              <w:t xml:space="preserve"> Standards Agency</w:t>
            </w:r>
          </w:p>
        </w:tc>
      </w:tr>
      <w:tr w:rsidR="00983AE6" w:rsidRPr="00736F23" w14:paraId="024051F4" w14:textId="77777777" w:rsidTr="00AF0B69">
        <w:trPr>
          <w:cantSplit/>
          <w:trHeight w:val="306"/>
        </w:trPr>
        <w:tc>
          <w:tcPr>
            <w:tcW w:w="1333" w:type="dxa"/>
            <w:shd w:val="clear" w:color="auto" w:fill="auto"/>
          </w:tcPr>
          <w:p w14:paraId="665220AA" w14:textId="77777777" w:rsidR="00983AE6" w:rsidRPr="0050179D" w:rsidRDefault="00983AE6" w:rsidP="005F300B">
            <w:pPr>
              <w:spacing w:after="0"/>
              <w:rPr>
                <w:rFonts w:cstheme="minorHAnsi"/>
              </w:rPr>
            </w:pPr>
            <w:r w:rsidRPr="0050179D">
              <w:rPr>
                <w:rFonts w:cstheme="minorHAnsi"/>
              </w:rPr>
              <w:t>TPA</w:t>
            </w:r>
          </w:p>
        </w:tc>
        <w:tc>
          <w:tcPr>
            <w:tcW w:w="7953" w:type="dxa"/>
            <w:shd w:val="clear" w:color="auto" w:fill="auto"/>
          </w:tcPr>
          <w:p w14:paraId="77BBFF5C" w14:textId="77777777" w:rsidR="00983AE6" w:rsidRPr="0050179D" w:rsidRDefault="00983AE6" w:rsidP="005F300B">
            <w:pPr>
              <w:spacing w:after="0"/>
              <w:rPr>
                <w:rFonts w:cstheme="minorHAnsi"/>
              </w:rPr>
            </w:pPr>
            <w:r w:rsidRPr="0050179D">
              <w:rPr>
                <w:rFonts w:cstheme="minorHAnsi"/>
              </w:rPr>
              <w:t>Third party arrangement</w:t>
            </w:r>
          </w:p>
        </w:tc>
      </w:tr>
      <w:tr w:rsidR="00983AE6" w:rsidRPr="00736F23" w14:paraId="16535383" w14:textId="77777777" w:rsidTr="00AF0B69">
        <w:trPr>
          <w:cantSplit/>
          <w:trHeight w:val="306"/>
        </w:trPr>
        <w:tc>
          <w:tcPr>
            <w:tcW w:w="1333" w:type="dxa"/>
            <w:shd w:val="clear" w:color="auto" w:fill="auto"/>
          </w:tcPr>
          <w:p w14:paraId="7894B5E9" w14:textId="77777777" w:rsidR="00983AE6" w:rsidRPr="0050179D" w:rsidRDefault="00983AE6" w:rsidP="005F300B">
            <w:pPr>
              <w:spacing w:after="0"/>
              <w:rPr>
                <w:rFonts w:cstheme="minorHAnsi"/>
              </w:rPr>
            </w:pPr>
            <w:r w:rsidRPr="0050179D">
              <w:rPr>
                <w:rFonts w:cstheme="minorHAnsi"/>
              </w:rPr>
              <w:t>USI</w:t>
            </w:r>
          </w:p>
        </w:tc>
        <w:tc>
          <w:tcPr>
            <w:tcW w:w="7953" w:type="dxa"/>
            <w:shd w:val="clear" w:color="auto" w:fill="auto"/>
          </w:tcPr>
          <w:p w14:paraId="7C13954B" w14:textId="77777777" w:rsidR="00983AE6" w:rsidRPr="0050179D" w:rsidRDefault="00983AE6" w:rsidP="005F300B">
            <w:pPr>
              <w:spacing w:after="0"/>
              <w:rPr>
                <w:rFonts w:cstheme="minorHAnsi"/>
              </w:rPr>
            </w:pPr>
            <w:r w:rsidRPr="0050179D">
              <w:rPr>
                <w:rFonts w:cstheme="minorHAnsi"/>
              </w:rPr>
              <w:t>Unique Student Identifier</w:t>
            </w:r>
          </w:p>
        </w:tc>
      </w:tr>
    </w:tbl>
    <w:p w14:paraId="15B78669" w14:textId="77777777" w:rsidR="00D2391A" w:rsidRDefault="00D2391A">
      <w:pPr>
        <w:spacing w:line="276" w:lineRule="auto"/>
        <w:rPr>
          <w:rFonts w:ascii="Calibri" w:eastAsiaTheme="majorEastAsia" w:hAnsi="Calibri" w:cstheme="majorBidi"/>
          <w:b/>
          <w:bCs/>
          <w:caps/>
          <w:color w:val="292065"/>
          <w:sz w:val="36"/>
          <w:szCs w:val="28"/>
        </w:rPr>
      </w:pPr>
      <w:bookmarkStart w:id="17" w:name="_2._Managing_existing"/>
      <w:bookmarkEnd w:id="17"/>
      <w:r>
        <w:br w:type="page"/>
      </w:r>
    </w:p>
    <w:p w14:paraId="3CAC1800" w14:textId="77777777" w:rsidR="00983AE6" w:rsidRDefault="00983AE6" w:rsidP="00983AE6">
      <w:pPr>
        <w:pStyle w:val="Heading1"/>
      </w:pPr>
      <w:bookmarkStart w:id="18" w:name="_2._Managing_existing_1"/>
      <w:bookmarkStart w:id="19" w:name="_Toc501621159"/>
      <w:bookmarkEnd w:id="18"/>
      <w:r>
        <w:lastRenderedPageBreak/>
        <w:t>2. Managing existing vet fee-help students</w:t>
      </w:r>
      <w:bookmarkEnd w:id="19"/>
    </w:p>
    <w:p w14:paraId="653C42F3" w14:textId="77777777" w:rsidR="00703812" w:rsidRDefault="00983AE6" w:rsidP="00983AE6">
      <w:r w:rsidRPr="00736F23">
        <w:t xml:space="preserve">From 1 January 2017 for a limited period, the </w:t>
      </w:r>
      <w:r>
        <w:t>VET FEE-HELP scheme and the VET </w:t>
      </w:r>
      <w:r w:rsidRPr="00736F23">
        <w:t>Student Loans program will be operating concurrently. It is a provider’s responsibility to ensure they comply with the applicable legislation and instruments.</w:t>
      </w:r>
      <w:r w:rsidR="00703812">
        <w:t xml:space="preserve"> </w:t>
      </w:r>
    </w:p>
    <w:p w14:paraId="31219822" w14:textId="532C7423" w:rsidR="00983AE6" w:rsidRDefault="00703812" w:rsidP="00983AE6">
      <w:r>
        <w:t>VET FEE-HELP can only be provided to certain continuing VET FEE-HELP students by their original provider or another provider if tuition assurance has been activated. The provider offering VET FEE</w:t>
      </w:r>
      <w:r>
        <w:noBreakHyphen/>
        <w:t xml:space="preserve">HELP must </w:t>
      </w:r>
      <w:r w:rsidR="00C41A81">
        <w:t xml:space="preserve">continue to </w:t>
      </w:r>
      <w:r>
        <w:t xml:space="preserve">be approved </w:t>
      </w:r>
      <w:r w:rsidR="00C41A81">
        <w:t xml:space="preserve">under </w:t>
      </w:r>
      <w:r w:rsidR="00281657">
        <w:t xml:space="preserve">the </w:t>
      </w:r>
      <w:r w:rsidR="00281657" w:rsidRPr="00281657">
        <w:rPr>
          <w:i/>
        </w:rPr>
        <w:t>Higher Education Support Act 2003</w:t>
      </w:r>
      <w:r w:rsidR="00281657">
        <w:t xml:space="preserve"> (</w:t>
      </w:r>
      <w:r w:rsidR="00C41A81">
        <w:t>HESA</w:t>
      </w:r>
      <w:r w:rsidR="00281657">
        <w:t>)</w:t>
      </w:r>
      <w:r w:rsidR="00C41A81">
        <w:t xml:space="preserve"> to offer </w:t>
      </w:r>
      <w:r>
        <w:t>VET FEE-HELP.</w:t>
      </w:r>
    </w:p>
    <w:p w14:paraId="70D62BE9" w14:textId="3EBB4553" w:rsidR="00594984" w:rsidRDefault="00A04573" w:rsidP="00594984">
      <w:pPr>
        <w:pStyle w:val="Heading2"/>
        <w:rPr>
          <w:rFonts w:eastAsia="Times New Roman"/>
        </w:rPr>
      </w:pPr>
      <w:bookmarkStart w:id="20" w:name="_2.1_Grandfathering_2017"/>
      <w:bookmarkStart w:id="21" w:name="_Toc501621160"/>
      <w:bookmarkEnd w:id="20"/>
      <w:r>
        <w:rPr>
          <w:rFonts w:eastAsia="Times New Roman"/>
        </w:rPr>
        <w:t>2.1 Grandfathering</w:t>
      </w:r>
      <w:r w:rsidR="00594984">
        <w:rPr>
          <w:rFonts w:eastAsia="Times New Roman"/>
        </w:rPr>
        <w:t xml:space="preserve"> 2017</w:t>
      </w:r>
      <w:bookmarkEnd w:id="21"/>
    </w:p>
    <w:p w14:paraId="63045DE8" w14:textId="0007ABD9" w:rsidR="00594984" w:rsidRPr="002C6614" w:rsidRDefault="00A91644" w:rsidP="0028499D">
      <w:pPr>
        <w:autoSpaceDE w:val="0"/>
        <w:autoSpaceDN w:val="0"/>
        <w:adjustRightInd w:val="0"/>
        <w:spacing w:after="0"/>
      </w:pPr>
      <w:r w:rsidRPr="002C6614">
        <w:rPr>
          <w:rFonts w:ascii="Calibri" w:eastAsiaTheme="minorHAnsi" w:hAnsi="Calibri" w:cs="Calibri"/>
        </w:rPr>
        <w:t>Where a student commenced a course under the VET FEE-HELP arrangements and was still studying the course immediately before 1 January 2017 they were given the opportunity to ‘opt in’ to continue to receive VET FEE-HELP assistance for further units of study in that course with their provider</w:t>
      </w:r>
      <w:r w:rsidR="00240A7F" w:rsidRPr="002C6614">
        <w:rPr>
          <w:rFonts w:ascii="Calibri" w:eastAsiaTheme="minorHAnsi" w:hAnsi="Calibri" w:cs="Calibri"/>
        </w:rPr>
        <w:t xml:space="preserve"> over 2017</w:t>
      </w:r>
      <w:r w:rsidRPr="002C6614">
        <w:rPr>
          <w:rFonts w:ascii="Calibri" w:eastAsiaTheme="minorHAnsi" w:hAnsi="Calibri" w:cs="Calibri"/>
        </w:rPr>
        <w:t xml:space="preserve">. Such students are said to be ‘grandfathered’. </w:t>
      </w:r>
      <w:r w:rsidR="00594984" w:rsidRPr="002C6614">
        <w:rPr>
          <w:lang w:eastAsia="en-AU"/>
        </w:rPr>
        <w:t>The department</w:t>
      </w:r>
      <w:r w:rsidRPr="002C6614">
        <w:rPr>
          <w:lang w:eastAsia="en-AU"/>
        </w:rPr>
        <w:t>,</w:t>
      </w:r>
      <w:r w:rsidR="00594984" w:rsidRPr="002C6614">
        <w:rPr>
          <w:lang w:eastAsia="en-AU"/>
        </w:rPr>
        <w:t xml:space="preserve"> via email or letter from December 2016</w:t>
      </w:r>
      <w:r w:rsidRPr="002C6614">
        <w:rPr>
          <w:lang w:eastAsia="en-AU"/>
        </w:rPr>
        <w:t>,</w:t>
      </w:r>
      <w:r w:rsidR="00594984" w:rsidRPr="002C6614">
        <w:rPr>
          <w:lang w:eastAsia="en-AU"/>
        </w:rPr>
        <w:t xml:space="preserve"> contacted students. Students were required to follow the steps outlined in the document to opt-in before 31 March</w:t>
      </w:r>
      <w:r w:rsidRPr="002C6614">
        <w:rPr>
          <w:lang w:eastAsia="en-AU"/>
        </w:rPr>
        <w:t> </w:t>
      </w:r>
      <w:r w:rsidR="00594984" w:rsidRPr="002C6614">
        <w:rPr>
          <w:lang w:eastAsia="en-AU"/>
        </w:rPr>
        <w:t xml:space="preserve">2017 to continue under the VET </w:t>
      </w:r>
      <w:r w:rsidR="00594984" w:rsidRPr="002C6614">
        <w:t>FEE</w:t>
      </w:r>
      <w:r w:rsidR="00594984" w:rsidRPr="002C6614">
        <w:noBreakHyphen/>
        <w:t>HELP grandfathering arrangements over 2017.</w:t>
      </w:r>
      <w:r w:rsidRPr="002C6614">
        <w:t xml:space="preserve"> </w:t>
      </w:r>
      <w:r w:rsidR="00594984" w:rsidRPr="002C6614">
        <w:t xml:space="preserve">Once </w:t>
      </w:r>
      <w:r w:rsidR="00314DDA">
        <w:t xml:space="preserve">the </w:t>
      </w:r>
      <w:r w:rsidR="00594984" w:rsidRPr="002C6614">
        <w:t>student had completed the online opt-in form, a confirmation email was sent to the</w:t>
      </w:r>
      <w:r w:rsidR="00314DDA">
        <w:t>ir nominated email address</w:t>
      </w:r>
      <w:r w:rsidR="00594984" w:rsidRPr="002C6614">
        <w:t>.</w:t>
      </w:r>
    </w:p>
    <w:p w14:paraId="39936B18" w14:textId="77777777" w:rsidR="00A91644" w:rsidRPr="002C6614" w:rsidRDefault="00A91644" w:rsidP="0028499D">
      <w:pPr>
        <w:autoSpaceDE w:val="0"/>
        <w:autoSpaceDN w:val="0"/>
        <w:adjustRightInd w:val="0"/>
        <w:spacing w:after="0"/>
      </w:pPr>
    </w:p>
    <w:p w14:paraId="67803B14" w14:textId="77777777" w:rsidR="00594984" w:rsidRPr="002C6614" w:rsidRDefault="00594984" w:rsidP="00594984">
      <w:pPr>
        <w:rPr>
          <w:rStyle w:val="Strong"/>
        </w:rPr>
      </w:pPr>
      <w:r w:rsidRPr="002C6614">
        <w:rPr>
          <w:rStyle w:val="Strong"/>
        </w:rPr>
        <w:t>Providers must retain a copy of the opt-in confirmation email. A copy of the initial opt-in email or letter is not sufficient confirmation.</w:t>
      </w:r>
    </w:p>
    <w:p w14:paraId="3D67536B" w14:textId="77777777" w:rsidR="00594984" w:rsidRPr="002C6614" w:rsidRDefault="00594984" w:rsidP="002C6614">
      <w:pPr>
        <w:shd w:val="clear" w:color="auto" w:fill="FDE9D9" w:themeFill="accent6" w:themeFillTint="33"/>
        <w:rPr>
          <w:rStyle w:val="Strong"/>
        </w:rPr>
      </w:pPr>
      <w:r w:rsidRPr="002C6614">
        <w:rPr>
          <w:rStyle w:val="Strong"/>
        </w:rPr>
        <w:t>IMPORTANT NOTES:</w:t>
      </w:r>
    </w:p>
    <w:p w14:paraId="3FF811F4" w14:textId="77777777" w:rsidR="00594984" w:rsidRPr="002C6614" w:rsidRDefault="00594984" w:rsidP="00A0727A">
      <w:pPr>
        <w:pStyle w:val="ListBullet"/>
        <w:numPr>
          <w:ilvl w:val="0"/>
          <w:numId w:val="63"/>
        </w:numPr>
        <w:shd w:val="clear" w:color="auto" w:fill="FDE9D9" w:themeFill="accent6" w:themeFillTint="33"/>
      </w:pPr>
      <w:r w:rsidRPr="002C6614">
        <w:t xml:space="preserve">Providers </w:t>
      </w:r>
      <w:r w:rsidRPr="002C6614">
        <w:rPr>
          <w:u w:val="single"/>
        </w:rPr>
        <w:t>will not</w:t>
      </w:r>
      <w:r w:rsidRPr="002C6614">
        <w:t xml:space="preserve"> receive payment for census dates in 2017 that have already passed for their continuing students until the students have opted-in following the opt-in process. </w:t>
      </w:r>
    </w:p>
    <w:p w14:paraId="2AD58E91" w14:textId="77777777" w:rsidR="00594984" w:rsidRPr="002C6614" w:rsidRDefault="00594984" w:rsidP="00A0727A">
      <w:pPr>
        <w:pStyle w:val="ListBullet"/>
        <w:numPr>
          <w:ilvl w:val="0"/>
          <w:numId w:val="63"/>
        </w:numPr>
        <w:shd w:val="clear" w:color="auto" w:fill="FDE9D9" w:themeFill="accent6" w:themeFillTint="33"/>
      </w:pPr>
      <w:r w:rsidRPr="002C6614">
        <w:t>The requirement for students to opt-in and confirm their continued engagement in study is part of the eligibility requirements for students to obtain continued access to VET FEE</w:t>
      </w:r>
      <w:r w:rsidRPr="002C6614">
        <w:noBreakHyphen/>
        <w:t>HELP.</w:t>
      </w:r>
    </w:p>
    <w:p w14:paraId="5DCB0ABE" w14:textId="77777777" w:rsidR="00594984" w:rsidRPr="002C6614" w:rsidRDefault="00594984" w:rsidP="00A0727A">
      <w:pPr>
        <w:pStyle w:val="ListBullet"/>
        <w:numPr>
          <w:ilvl w:val="0"/>
          <w:numId w:val="63"/>
        </w:numPr>
        <w:shd w:val="clear" w:color="auto" w:fill="FDE9D9" w:themeFill="accent6" w:themeFillTint="33"/>
      </w:pPr>
      <w:r w:rsidRPr="002C6614">
        <w:t xml:space="preserve">Providers should not report data for a student if that student has not opted-in. Providers can, however, </w:t>
      </w:r>
      <w:hyperlink w:anchor="_Toc471305876" w:history="1">
        <w:r w:rsidRPr="002C6614">
          <w:rPr>
            <w:rStyle w:val="Hyperlink"/>
          </w:rPr>
          <w:t>report student data once the student has opted-in</w:t>
        </w:r>
      </w:hyperlink>
      <w:r w:rsidRPr="002C6614">
        <w:t>.</w:t>
      </w:r>
    </w:p>
    <w:p w14:paraId="51681275" w14:textId="394A01F7" w:rsidR="00594984" w:rsidRPr="002C6614" w:rsidRDefault="00A04573" w:rsidP="00594984">
      <w:pPr>
        <w:pStyle w:val="Heading2"/>
        <w:rPr>
          <w:rFonts w:eastAsia="Times New Roman"/>
        </w:rPr>
      </w:pPr>
      <w:bookmarkStart w:id="22" w:name="_2.2_Grandfathering_2018"/>
      <w:bookmarkStart w:id="23" w:name="_Toc501621161"/>
      <w:bookmarkEnd w:id="22"/>
      <w:r w:rsidRPr="002C6614">
        <w:rPr>
          <w:rFonts w:eastAsia="Times New Roman"/>
        </w:rPr>
        <w:t>2.2</w:t>
      </w:r>
      <w:r>
        <w:rPr>
          <w:rFonts w:eastAsia="Times New Roman"/>
        </w:rPr>
        <w:t xml:space="preserve"> </w:t>
      </w:r>
      <w:r w:rsidRPr="002C6614">
        <w:rPr>
          <w:rFonts w:eastAsia="Times New Roman"/>
        </w:rPr>
        <w:t>Grandfathering</w:t>
      </w:r>
      <w:r w:rsidR="00594984" w:rsidRPr="002C6614">
        <w:rPr>
          <w:rFonts w:eastAsia="Times New Roman"/>
        </w:rPr>
        <w:t xml:space="preserve"> 2018</w:t>
      </w:r>
      <w:bookmarkEnd w:id="23"/>
    </w:p>
    <w:p w14:paraId="209900E0" w14:textId="2533D908" w:rsidR="00594984" w:rsidRPr="00A775DD" w:rsidRDefault="00594984" w:rsidP="00A443F2">
      <w:pPr>
        <w:pStyle w:val="Default"/>
        <w:spacing w:after="120"/>
        <w:rPr>
          <w:rFonts w:eastAsiaTheme="minorHAnsi"/>
        </w:rPr>
      </w:pPr>
      <w:r w:rsidRPr="002C6614">
        <w:rPr>
          <w:color w:val="auto"/>
          <w:sz w:val="22"/>
          <w:szCs w:val="22"/>
        </w:rPr>
        <w:t xml:space="preserve">Some grandfathered students, who have </w:t>
      </w:r>
      <w:r w:rsidR="00240A7F" w:rsidRPr="002C6614">
        <w:rPr>
          <w:color w:val="auto"/>
          <w:sz w:val="22"/>
          <w:szCs w:val="22"/>
        </w:rPr>
        <w:t xml:space="preserve">received </w:t>
      </w:r>
      <w:r w:rsidRPr="002C6614">
        <w:rPr>
          <w:color w:val="auto"/>
          <w:sz w:val="22"/>
          <w:szCs w:val="22"/>
        </w:rPr>
        <w:t>VET FEE-HELP</w:t>
      </w:r>
      <w:r w:rsidR="00240A7F" w:rsidRPr="002C6614">
        <w:rPr>
          <w:color w:val="auto"/>
          <w:sz w:val="22"/>
          <w:szCs w:val="22"/>
        </w:rPr>
        <w:t xml:space="preserve"> assistance</w:t>
      </w:r>
      <w:r w:rsidRPr="002C6614">
        <w:rPr>
          <w:color w:val="auto"/>
          <w:sz w:val="22"/>
          <w:szCs w:val="22"/>
        </w:rPr>
        <w:t xml:space="preserve"> and completed unit/s in 2017,</w:t>
      </w:r>
      <w:r w:rsidRPr="002C6614">
        <w:rPr>
          <w:color w:val="auto"/>
          <w:sz w:val="22"/>
          <w:szCs w:val="22"/>
          <w:vertAlign w:val="superscript"/>
        </w:rPr>
        <w:t xml:space="preserve"> </w:t>
      </w:r>
      <w:r w:rsidRPr="002C6614">
        <w:rPr>
          <w:color w:val="auto"/>
          <w:sz w:val="22"/>
          <w:szCs w:val="22"/>
        </w:rPr>
        <w:t xml:space="preserve">but have not yet completed their course, may be eligible to extend their VET FEE-HELP assistance into 2018 under </w:t>
      </w:r>
      <w:hyperlink w:anchor="_2.2.1__" w:history="1">
        <w:r w:rsidRPr="00A775DD">
          <w:rPr>
            <w:rStyle w:val="Hyperlink"/>
            <w:rFonts w:ascii="Calibri" w:hAnsi="Calibri"/>
            <w:bCs/>
            <w:i/>
            <w:iCs/>
            <w:szCs w:val="22"/>
          </w:rPr>
          <w:t>exceptional circumstances</w:t>
        </w:r>
      </w:hyperlink>
      <w:r w:rsidR="002E25C8" w:rsidRPr="00A775DD">
        <w:rPr>
          <w:b/>
          <w:bCs/>
          <w:i/>
          <w:iCs/>
          <w:color w:val="auto"/>
          <w:sz w:val="22"/>
          <w:szCs w:val="22"/>
        </w:rPr>
        <w:t xml:space="preserve"> </w:t>
      </w:r>
      <w:r w:rsidR="002E25C8" w:rsidRPr="00A775DD">
        <w:rPr>
          <w:b/>
          <w:bCs/>
          <w:iCs/>
          <w:color w:val="00B0F0"/>
          <w:sz w:val="16"/>
          <w:szCs w:val="16"/>
        </w:rPr>
        <w:t>[HESA clause 43(3)(</w:t>
      </w:r>
      <w:r w:rsidR="003A2A37" w:rsidRPr="00A775DD">
        <w:rPr>
          <w:b/>
          <w:bCs/>
          <w:iCs/>
          <w:color w:val="00B0F0"/>
          <w:sz w:val="16"/>
          <w:szCs w:val="16"/>
        </w:rPr>
        <w:t>b</w:t>
      </w:r>
      <w:r w:rsidR="002E25C8" w:rsidRPr="00A775DD">
        <w:rPr>
          <w:b/>
          <w:bCs/>
          <w:iCs/>
          <w:color w:val="00B0F0"/>
          <w:sz w:val="16"/>
          <w:szCs w:val="16"/>
        </w:rPr>
        <w:t>)(ii)]</w:t>
      </w:r>
      <w:r w:rsidRPr="00A775DD">
        <w:rPr>
          <w:color w:val="auto"/>
          <w:sz w:val="22"/>
          <w:szCs w:val="22"/>
        </w:rPr>
        <w:t xml:space="preserve">. </w:t>
      </w:r>
    </w:p>
    <w:p w14:paraId="69686C02" w14:textId="38F25A8D" w:rsidR="00594984" w:rsidRPr="00A775DD" w:rsidRDefault="00594984" w:rsidP="0028499D">
      <w:pPr>
        <w:spacing w:after="120"/>
      </w:pPr>
      <w:r w:rsidRPr="00A775DD">
        <w:t>The Government electronic Commonwealth Assistance Form (</w:t>
      </w:r>
      <w:hyperlink w:anchor="_Using_the_eCAF" w:history="1">
        <w:r w:rsidRPr="00A775DD">
          <w:rPr>
            <w:rStyle w:val="Hyperlink"/>
          </w:rPr>
          <w:t>eCAF</w:t>
        </w:r>
      </w:hyperlink>
      <w:r w:rsidRPr="00A775DD">
        <w:t>) system has been modified to support the 2018 VET FEE-HELP opt-in extension process. VET FEE-HELP providers will be required to initiate VET</w:t>
      </w:r>
      <w:r w:rsidR="00FC4C1F" w:rsidRPr="00A775DD">
        <w:t> </w:t>
      </w:r>
      <w:r w:rsidRPr="00A775DD">
        <w:t>FEE</w:t>
      </w:r>
      <w:r w:rsidR="00FC4C1F" w:rsidRPr="00A775DD">
        <w:noBreakHyphen/>
      </w:r>
      <w:r w:rsidRPr="00A775DD">
        <w:t>HELP opt-in extensions by uploading a spreadsheet to the eCAF system, nominating students that fulfil the criteria</w:t>
      </w:r>
      <w:r w:rsidR="00D56718" w:rsidRPr="00A775DD">
        <w:t xml:space="preserve"> below</w:t>
      </w:r>
      <w:r w:rsidRPr="00A775DD">
        <w:t>. Providers will be required to declare that any 2017 grandfathered student proposed for 2018 VET FEE</w:t>
      </w:r>
      <w:r w:rsidR="00F43A2C" w:rsidRPr="00A775DD">
        <w:noBreakHyphen/>
      </w:r>
      <w:r w:rsidRPr="00A775DD">
        <w:t>HELP opt-in extension:</w:t>
      </w:r>
    </w:p>
    <w:p w14:paraId="660470E0" w14:textId="5C424B45" w:rsidR="00594984" w:rsidRPr="00A775DD" w:rsidRDefault="00594984" w:rsidP="00A0727A">
      <w:pPr>
        <w:pStyle w:val="NoSpacing"/>
        <w:numPr>
          <w:ilvl w:val="0"/>
          <w:numId w:val="64"/>
        </w:numPr>
        <w:spacing w:after="120"/>
      </w:pPr>
      <w:r w:rsidRPr="00A775DD">
        <w:t>is a genuine, continuing student engaged in their studies; and</w:t>
      </w:r>
    </w:p>
    <w:p w14:paraId="764E791E" w14:textId="45623260" w:rsidR="00C81102" w:rsidRPr="00A775DD" w:rsidRDefault="00C81102" w:rsidP="00A0727A">
      <w:pPr>
        <w:pStyle w:val="NoSpacing"/>
        <w:numPr>
          <w:ilvl w:val="0"/>
          <w:numId w:val="64"/>
        </w:numPr>
        <w:spacing w:after="120"/>
      </w:pPr>
      <w:r w:rsidRPr="00A775DD">
        <w:t>has one or more of the exceptional circumstances set out in subsection 2.2.1</w:t>
      </w:r>
      <w:r w:rsidR="003A2A37" w:rsidRPr="00A775DD">
        <w:t xml:space="preserve"> that have prevented the student’s completion of a unit of study in 2017</w:t>
      </w:r>
      <w:r w:rsidRPr="00A775DD">
        <w:t>; and</w:t>
      </w:r>
    </w:p>
    <w:p w14:paraId="536B2DA5" w14:textId="77777777" w:rsidR="00594984" w:rsidRPr="00A775DD" w:rsidRDefault="00594984" w:rsidP="00A0727A">
      <w:pPr>
        <w:pStyle w:val="NoSpacing"/>
        <w:numPr>
          <w:ilvl w:val="0"/>
          <w:numId w:val="64"/>
        </w:numPr>
        <w:spacing w:after="120"/>
      </w:pPr>
      <w:r w:rsidRPr="00A775DD">
        <w:t>has completed at least one unit of study in 2017; or</w:t>
      </w:r>
    </w:p>
    <w:p w14:paraId="51C2FED6" w14:textId="1B3E3E9E" w:rsidR="00594984" w:rsidRPr="00A775DD" w:rsidRDefault="00594984" w:rsidP="00A0727A">
      <w:pPr>
        <w:pStyle w:val="NoSpacing"/>
        <w:numPr>
          <w:ilvl w:val="0"/>
          <w:numId w:val="64"/>
        </w:numPr>
        <w:spacing w:after="120"/>
      </w:pPr>
      <w:r w:rsidRPr="00A775DD">
        <w:t>is expected to complete at least one unit of study in 2017</w:t>
      </w:r>
      <w:r w:rsidR="003A2A37" w:rsidRPr="00A775DD">
        <w:t>.</w:t>
      </w:r>
    </w:p>
    <w:p w14:paraId="5BA79C5F" w14:textId="582267B5" w:rsidR="00D90568" w:rsidRPr="009D04F4" w:rsidRDefault="00D90568" w:rsidP="0028499D">
      <w:pPr>
        <w:pStyle w:val="NoSpacing"/>
        <w:spacing w:after="120"/>
        <w:rPr>
          <w:rFonts w:ascii="Calibri" w:eastAsia="Times New Roman" w:hAnsi="Calibri" w:cs="Calibri"/>
          <w:lang w:eastAsia="en-AU"/>
        </w:rPr>
      </w:pPr>
      <w:r w:rsidRPr="009D04F4">
        <w:lastRenderedPageBreak/>
        <w:t>Student details will be matched in the department’s system and students will receive an invitation email from the department. Students will use the eCAF system to apply for approval by completing an online form indicating</w:t>
      </w:r>
      <w:r w:rsidR="00C81102" w:rsidRPr="009D04F4">
        <w:t xml:space="preserve"> that they meet the eligibility criteria for continued access to VET FEE-HELP assistance in 2018, including specifying which of</w:t>
      </w:r>
      <w:r w:rsidRPr="009D04F4">
        <w:t xml:space="preserve"> the exceptional circumstance</w:t>
      </w:r>
      <w:r w:rsidR="00C81102" w:rsidRPr="009D04F4">
        <w:t>s applies to them</w:t>
      </w:r>
      <w:r w:rsidRPr="009D04F4">
        <w:t>. Students from closed providers who have moved to another provider or</w:t>
      </w:r>
      <w:r w:rsidR="00C81102" w:rsidRPr="009D04F4">
        <w:t xml:space="preserve"> are</w:t>
      </w:r>
      <w:r w:rsidRPr="009D04F4">
        <w:t xml:space="preserve"> moving into a replacement course from a superseded course will still be eligible for the opt-in extension. Technical details about the process are available in the eCA</w:t>
      </w:r>
      <w:r w:rsidR="00C81102" w:rsidRPr="009D04F4">
        <w:t>F</w:t>
      </w:r>
      <w:r w:rsidRPr="009D04F4">
        <w:t xml:space="preserve"> User Guide accessible in the eCAF system</w:t>
      </w:r>
      <w:r w:rsidRPr="009D04F4">
        <w:rPr>
          <w:rFonts w:ascii="Calibri" w:eastAsia="Times New Roman" w:hAnsi="Calibri" w:cs="Calibri"/>
          <w:lang w:eastAsia="en-AU"/>
        </w:rPr>
        <w:t>.</w:t>
      </w:r>
    </w:p>
    <w:p w14:paraId="4826D5E8" w14:textId="0D3BEDCF" w:rsidR="00D90568" w:rsidRPr="009D04F4" w:rsidRDefault="00D90568" w:rsidP="0028499D">
      <w:pPr>
        <w:pStyle w:val="NoSpacing"/>
        <w:spacing w:after="120"/>
      </w:pPr>
      <w:r w:rsidRPr="009D04F4">
        <w:t xml:space="preserve">An email will then be sent to students, with a copy of their completed </w:t>
      </w:r>
      <w:r w:rsidRPr="009D04F4">
        <w:rPr>
          <w:i/>
        </w:rPr>
        <w:t>VET FEE HELP Grandfathering – 2018 Extension – Application Form</w:t>
      </w:r>
      <w:r w:rsidRPr="009D04F4">
        <w:t xml:space="preserve"> attached, for the student to take to their provider to confirm their approval for access to VET FEE-HELP in 2018 (with all other requirements being met by the student and the VET FEE-HELP provider). </w:t>
      </w:r>
    </w:p>
    <w:p w14:paraId="14E9069E" w14:textId="77777777" w:rsidR="001F4530" w:rsidRPr="009D04F4" w:rsidRDefault="00D90568" w:rsidP="0028499D">
      <w:pPr>
        <w:pStyle w:val="NoSpacing"/>
        <w:spacing w:after="120"/>
      </w:pPr>
      <w:r w:rsidRPr="009D04F4">
        <w:t>To confirm the student wants to pay their tuition fees with a VET FEE-HELP loan a student will be required to give a copy of their form to their provider. The online form was available from September 2017.</w:t>
      </w:r>
      <w:r w:rsidRPr="009D04F4" w:rsidDel="00FC4C1F">
        <w:t xml:space="preserve"> </w:t>
      </w:r>
    </w:p>
    <w:p w14:paraId="4AAF8D00" w14:textId="298DE233" w:rsidR="00572ACF" w:rsidRPr="009D04F4" w:rsidRDefault="001F4530" w:rsidP="0028499D">
      <w:pPr>
        <w:pStyle w:val="NoSpacing"/>
        <w:spacing w:after="120"/>
      </w:pPr>
      <w:r w:rsidRPr="009D04F4">
        <w:rPr>
          <w:rFonts w:ascii="Calibri" w:eastAsiaTheme="minorHAnsi" w:hAnsi="Calibri" w:cs="Calibri"/>
          <w:color w:val="000000"/>
        </w:rPr>
        <w:t>Providers will not receive payment for census dates in 2018</w:t>
      </w:r>
      <w:r w:rsidR="00C81102" w:rsidRPr="009D04F4">
        <w:rPr>
          <w:rFonts w:ascii="Calibri" w:eastAsiaTheme="minorHAnsi" w:hAnsi="Calibri" w:cs="Calibri"/>
          <w:color w:val="000000"/>
        </w:rPr>
        <w:t xml:space="preserve"> for a student</w:t>
      </w:r>
      <w:r w:rsidRPr="009D04F4">
        <w:rPr>
          <w:rFonts w:ascii="Calibri" w:eastAsiaTheme="minorHAnsi" w:hAnsi="Calibri" w:cs="Calibri"/>
          <w:color w:val="000000"/>
        </w:rPr>
        <w:t xml:space="preserve"> unless the student meet</w:t>
      </w:r>
      <w:r w:rsidR="00C81102" w:rsidRPr="009D04F4">
        <w:rPr>
          <w:rFonts w:ascii="Calibri" w:eastAsiaTheme="minorHAnsi" w:hAnsi="Calibri" w:cs="Calibri"/>
          <w:color w:val="000000"/>
        </w:rPr>
        <w:t>s</w:t>
      </w:r>
      <w:r w:rsidRPr="009D04F4">
        <w:rPr>
          <w:rFonts w:ascii="Calibri" w:eastAsiaTheme="minorHAnsi" w:hAnsi="Calibri" w:cs="Calibri"/>
          <w:color w:val="000000"/>
        </w:rPr>
        <w:t xml:space="preserve"> the eligibility requirements. Providers should therefore not report student debt data unless the student has provided a copy of their completed </w:t>
      </w:r>
      <w:r w:rsidRPr="009D04F4">
        <w:rPr>
          <w:rFonts w:ascii="Calibri" w:eastAsiaTheme="minorHAnsi" w:hAnsi="Calibri" w:cs="Calibri"/>
          <w:i/>
          <w:iCs/>
          <w:color w:val="000000"/>
        </w:rPr>
        <w:t>VET FEE HELP Grandfathering – 2018 Extension – Application Form</w:t>
      </w:r>
      <w:r w:rsidRPr="009D04F4">
        <w:rPr>
          <w:rFonts w:ascii="Calibri" w:eastAsiaTheme="minorHAnsi" w:hAnsi="Calibri" w:cs="Calibri"/>
          <w:color w:val="000000"/>
        </w:rPr>
        <w:t xml:space="preserve">. </w:t>
      </w:r>
    </w:p>
    <w:p w14:paraId="626F0B59" w14:textId="2E495A06" w:rsidR="00F43A2C" w:rsidRPr="00A775DD" w:rsidRDefault="00F43A2C" w:rsidP="0028499D">
      <w:pPr>
        <w:pStyle w:val="Heading3"/>
        <w:keepNext/>
        <w:keepLines/>
      </w:pPr>
      <w:bookmarkStart w:id="24" w:name="_2.2.1__"/>
      <w:bookmarkStart w:id="25" w:name="_Toc501621162"/>
      <w:bookmarkEnd w:id="24"/>
      <w:r w:rsidRPr="00A775DD">
        <w:t xml:space="preserve">2.2.1   </w:t>
      </w:r>
      <w:r w:rsidR="00594984" w:rsidRPr="00A775DD">
        <w:t>Exceptional circumstances</w:t>
      </w:r>
      <w:bookmarkEnd w:id="25"/>
    </w:p>
    <w:p w14:paraId="591331B8" w14:textId="484281B9" w:rsidR="00594984" w:rsidRPr="00A775DD" w:rsidRDefault="00C81102" w:rsidP="00A443F2">
      <w:pPr>
        <w:pStyle w:val="Default"/>
        <w:spacing w:after="120"/>
        <w:rPr>
          <w:color w:val="auto"/>
          <w:sz w:val="22"/>
          <w:szCs w:val="22"/>
        </w:rPr>
      </w:pPr>
      <w:r w:rsidRPr="00A775DD">
        <w:rPr>
          <w:color w:val="auto"/>
          <w:sz w:val="22"/>
          <w:szCs w:val="22"/>
        </w:rPr>
        <w:t>To be eligible for continued access to VET FEE-HELP assistance, students must demonstrate that one or more of the e</w:t>
      </w:r>
      <w:r w:rsidR="00F43A2C" w:rsidRPr="00A775DD">
        <w:rPr>
          <w:color w:val="auto"/>
          <w:sz w:val="22"/>
          <w:szCs w:val="22"/>
        </w:rPr>
        <w:t xml:space="preserve">xceptional circumstances </w:t>
      </w:r>
      <w:r w:rsidRPr="00A775DD">
        <w:rPr>
          <w:color w:val="auto"/>
          <w:sz w:val="22"/>
          <w:szCs w:val="22"/>
        </w:rPr>
        <w:t xml:space="preserve">below applies to them. Exceptional circumstances </w:t>
      </w:r>
      <w:r w:rsidR="00594984" w:rsidRPr="00A775DD">
        <w:rPr>
          <w:color w:val="auto"/>
          <w:sz w:val="22"/>
          <w:szCs w:val="22"/>
        </w:rPr>
        <w:t>include illness, caring responsibilities, part-time studies, engagement in courses with longer than 12 months duration and students impacted by provider closure and tuition assurance activation:</w:t>
      </w:r>
    </w:p>
    <w:p w14:paraId="50673842" w14:textId="77777777" w:rsidR="00594984" w:rsidRPr="00A775DD" w:rsidRDefault="00594984" w:rsidP="009206B4">
      <w:pPr>
        <w:pStyle w:val="Heading5"/>
      </w:pPr>
      <w:r w:rsidRPr="00A775DD">
        <w:t xml:space="preserve">Part-time study </w:t>
      </w:r>
    </w:p>
    <w:p w14:paraId="22E622B5" w14:textId="1CEF6E80" w:rsidR="00594984" w:rsidRPr="00A775DD" w:rsidRDefault="00594984" w:rsidP="00A443F2">
      <w:pPr>
        <w:pStyle w:val="NoSpacing"/>
        <w:spacing w:after="120"/>
        <w:ind w:left="284"/>
      </w:pPr>
      <w:r w:rsidRPr="00A775DD">
        <w:t xml:space="preserve">This option is appropriate for situations where </w:t>
      </w:r>
      <w:r w:rsidR="00281C13" w:rsidRPr="00A775DD">
        <w:t xml:space="preserve">the student’s </w:t>
      </w:r>
      <w:r w:rsidRPr="00A775DD">
        <w:t xml:space="preserve">personal or work circumstances require that </w:t>
      </w:r>
      <w:r w:rsidR="00281C13" w:rsidRPr="00A775DD">
        <w:t xml:space="preserve">they </w:t>
      </w:r>
      <w:r w:rsidRPr="00A775DD">
        <w:t>study part-time.</w:t>
      </w:r>
    </w:p>
    <w:p w14:paraId="71CE2E5A" w14:textId="4EE57A11" w:rsidR="00594984" w:rsidRPr="00A775DD" w:rsidRDefault="00594984" w:rsidP="009206B4">
      <w:pPr>
        <w:pStyle w:val="Heading5"/>
      </w:pPr>
      <w:r w:rsidRPr="00A775DD">
        <w:t>Course is longer than 12 months full-time duration</w:t>
      </w:r>
    </w:p>
    <w:p w14:paraId="0DD5202B" w14:textId="43DB4FE4" w:rsidR="00594984" w:rsidRPr="00A775DD" w:rsidRDefault="00594984" w:rsidP="00A443F2">
      <w:pPr>
        <w:pStyle w:val="NoSpacing"/>
        <w:spacing w:after="120"/>
        <w:ind w:left="284"/>
      </w:pPr>
      <w:r w:rsidRPr="00A775DD">
        <w:t xml:space="preserve">This option is appropriate for situations where </w:t>
      </w:r>
      <w:r w:rsidR="00281C13" w:rsidRPr="00A775DD">
        <w:t xml:space="preserve">the student’s </w:t>
      </w:r>
      <w:r w:rsidRPr="00A775DD">
        <w:t>course would exceed 12 months in duration, even if undertaken full-time</w:t>
      </w:r>
      <w:r w:rsidR="00281C13" w:rsidRPr="00A775DD">
        <w:t>;</w:t>
      </w:r>
      <w:r w:rsidRPr="00A775DD">
        <w:t xml:space="preserve"> </w:t>
      </w:r>
      <w:r w:rsidR="00F43A2C" w:rsidRPr="00A775DD">
        <w:t>for example,</w:t>
      </w:r>
      <w:r w:rsidRPr="00A775DD">
        <w:t xml:space="preserve"> nursing.</w:t>
      </w:r>
    </w:p>
    <w:p w14:paraId="443FD3A2" w14:textId="77777777" w:rsidR="00594984" w:rsidRPr="00A775DD" w:rsidRDefault="00594984" w:rsidP="009206B4">
      <w:pPr>
        <w:pStyle w:val="Heading5"/>
      </w:pPr>
      <w:r w:rsidRPr="00A775DD">
        <w:t xml:space="preserve">Provider closure and the activation of tuition assurance </w:t>
      </w:r>
    </w:p>
    <w:p w14:paraId="5FA6C8AA" w14:textId="705ABD5C" w:rsidR="00594984" w:rsidRPr="00A775DD" w:rsidRDefault="00594984" w:rsidP="00A443F2">
      <w:pPr>
        <w:pStyle w:val="NoSpacing"/>
        <w:spacing w:after="120"/>
        <w:ind w:left="284"/>
      </w:pPr>
      <w:r w:rsidRPr="00A775DD">
        <w:t xml:space="preserve">This option is appropriate for situations where studies have been delayed because </w:t>
      </w:r>
      <w:r w:rsidR="00281C13" w:rsidRPr="00A775DD">
        <w:t xml:space="preserve">the </w:t>
      </w:r>
      <w:r w:rsidRPr="00A775DD">
        <w:t xml:space="preserve">provider has ceased operation, and </w:t>
      </w:r>
      <w:r w:rsidR="00281C13" w:rsidRPr="00A775DD">
        <w:t xml:space="preserve">the student </w:t>
      </w:r>
      <w:r w:rsidRPr="00A775DD">
        <w:t>ha</w:t>
      </w:r>
      <w:r w:rsidR="00281C13" w:rsidRPr="00A775DD">
        <w:t>s</w:t>
      </w:r>
      <w:r w:rsidRPr="00A775DD">
        <w:t xml:space="preserve"> had to move to a new provider to continue </w:t>
      </w:r>
      <w:r w:rsidR="00281C13" w:rsidRPr="00A775DD">
        <w:t xml:space="preserve">their </w:t>
      </w:r>
      <w:r w:rsidRPr="00A775DD">
        <w:t>studies.</w:t>
      </w:r>
    </w:p>
    <w:p w14:paraId="1C6D014B" w14:textId="77777777" w:rsidR="00594984" w:rsidRPr="00A775DD" w:rsidRDefault="00594984" w:rsidP="009206B4">
      <w:pPr>
        <w:pStyle w:val="Heading5"/>
      </w:pPr>
      <w:r w:rsidRPr="00A775DD">
        <w:t xml:space="preserve">Illness or accident </w:t>
      </w:r>
    </w:p>
    <w:p w14:paraId="1CD7646D" w14:textId="641F6F1A" w:rsidR="00594984" w:rsidRPr="00A775DD" w:rsidRDefault="00594984" w:rsidP="00A443F2">
      <w:pPr>
        <w:pStyle w:val="NoSpacing"/>
        <w:spacing w:after="120"/>
        <w:ind w:left="284"/>
      </w:pPr>
      <w:r w:rsidRPr="00A775DD">
        <w:t>This option is appropriate for situations where illness or accident stopped or delayed studies. Such circumstances might arise for example from:</w:t>
      </w:r>
    </w:p>
    <w:p w14:paraId="0E347CB2" w14:textId="77777777" w:rsidR="00594984" w:rsidRPr="00A775DD" w:rsidRDefault="00594984" w:rsidP="00A0727A">
      <w:pPr>
        <w:pStyle w:val="NoSpacing"/>
        <w:numPr>
          <w:ilvl w:val="0"/>
          <w:numId w:val="64"/>
        </w:numPr>
        <w:spacing w:after="120"/>
      </w:pPr>
      <w:r w:rsidRPr="00A775DD">
        <w:t>a motor vehicle accident</w:t>
      </w:r>
    </w:p>
    <w:p w14:paraId="0EA07D01" w14:textId="77777777" w:rsidR="00594984" w:rsidRPr="00A775DD" w:rsidRDefault="00594984" w:rsidP="00A0727A">
      <w:pPr>
        <w:pStyle w:val="NoSpacing"/>
        <w:numPr>
          <w:ilvl w:val="0"/>
          <w:numId w:val="64"/>
        </w:numPr>
        <w:spacing w:after="120"/>
      </w:pPr>
      <w:r w:rsidRPr="00A775DD">
        <w:t>the worsening (including the aggravation, deterioration or serious episode) of an illness or condition</w:t>
      </w:r>
    </w:p>
    <w:p w14:paraId="3DE835A7" w14:textId="77777777" w:rsidR="00594984" w:rsidRPr="00A775DD" w:rsidRDefault="00594984" w:rsidP="00A0727A">
      <w:pPr>
        <w:pStyle w:val="NoSpacing"/>
        <w:numPr>
          <w:ilvl w:val="0"/>
          <w:numId w:val="64"/>
        </w:numPr>
        <w:spacing w:after="120"/>
      </w:pPr>
      <w:r w:rsidRPr="00A775DD">
        <w:t>recovery does not go to plan</w:t>
      </w:r>
    </w:p>
    <w:p w14:paraId="105F1A8B" w14:textId="77777777" w:rsidR="00594984" w:rsidRPr="00A775DD" w:rsidRDefault="00594984" w:rsidP="00A0727A">
      <w:pPr>
        <w:pStyle w:val="NoSpacing"/>
        <w:numPr>
          <w:ilvl w:val="0"/>
          <w:numId w:val="64"/>
        </w:numPr>
        <w:spacing w:after="120"/>
      </w:pPr>
      <w:r w:rsidRPr="00A775DD">
        <w:t>some other incapacity</w:t>
      </w:r>
      <w:r w:rsidR="006A54AA" w:rsidRPr="00A775DD">
        <w:t>.</w:t>
      </w:r>
    </w:p>
    <w:p w14:paraId="2B89F5ED" w14:textId="77777777" w:rsidR="00594984" w:rsidRPr="00A775DD" w:rsidRDefault="00594984" w:rsidP="00344253">
      <w:pPr>
        <w:pStyle w:val="Heading5"/>
        <w:keepNext/>
        <w:keepLines/>
      </w:pPr>
      <w:r w:rsidRPr="00A775DD">
        <w:lastRenderedPageBreak/>
        <w:t xml:space="preserve">Caring responsibilities or material adverse change in personal or family circumstances </w:t>
      </w:r>
    </w:p>
    <w:p w14:paraId="66AC5E1C" w14:textId="3B34BF32" w:rsidR="00594984" w:rsidRPr="00A775DD" w:rsidRDefault="00594984" w:rsidP="00A443F2">
      <w:pPr>
        <w:pStyle w:val="NoSpacing"/>
        <w:spacing w:after="120"/>
        <w:ind w:left="284"/>
      </w:pPr>
      <w:r w:rsidRPr="00A775DD">
        <w:t xml:space="preserve">This option is appropriate for situations where caring responsibilities or change in </w:t>
      </w:r>
      <w:r w:rsidR="00281C13" w:rsidRPr="00A775DD">
        <w:t xml:space="preserve">the student’s </w:t>
      </w:r>
      <w:r w:rsidRPr="00A775DD">
        <w:t>family or personal situation stopped or delayed studies. Such circumstances might arise for example from:</w:t>
      </w:r>
    </w:p>
    <w:p w14:paraId="7DA35047" w14:textId="7197B8FA" w:rsidR="00594984" w:rsidRPr="00A775DD" w:rsidRDefault="00594984" w:rsidP="00A0727A">
      <w:pPr>
        <w:pStyle w:val="NoSpacing"/>
        <w:numPr>
          <w:ilvl w:val="0"/>
          <w:numId w:val="64"/>
        </w:numPr>
        <w:spacing w:after="120"/>
      </w:pPr>
      <w:r w:rsidRPr="00A775DD">
        <w:t>childcare responsibilities</w:t>
      </w:r>
    </w:p>
    <w:p w14:paraId="7D4BBA83" w14:textId="77777777" w:rsidR="00594984" w:rsidRPr="00A775DD" w:rsidRDefault="00594984" w:rsidP="00A0727A">
      <w:pPr>
        <w:pStyle w:val="NoSpacing"/>
        <w:numPr>
          <w:ilvl w:val="0"/>
          <w:numId w:val="64"/>
        </w:numPr>
        <w:spacing w:after="120"/>
      </w:pPr>
      <w:r w:rsidRPr="00A775DD">
        <w:t>elder care responsibilities</w:t>
      </w:r>
    </w:p>
    <w:p w14:paraId="5D3F2435" w14:textId="64A04A86" w:rsidR="00594984" w:rsidRPr="00A775DD" w:rsidRDefault="00594984" w:rsidP="00A0727A">
      <w:pPr>
        <w:pStyle w:val="NoSpacing"/>
        <w:numPr>
          <w:ilvl w:val="0"/>
          <w:numId w:val="64"/>
        </w:numPr>
        <w:spacing w:after="120"/>
      </w:pPr>
      <w:r w:rsidRPr="00A775DD">
        <w:t>death o</w:t>
      </w:r>
      <w:r w:rsidR="00281C13" w:rsidRPr="00A775DD">
        <w:t>f</w:t>
      </w:r>
      <w:r w:rsidRPr="00A775DD">
        <w:t xml:space="preserve"> a close family member</w:t>
      </w:r>
    </w:p>
    <w:p w14:paraId="5A5CDF64" w14:textId="77777777" w:rsidR="00594984" w:rsidRPr="00A775DD" w:rsidRDefault="00594984" w:rsidP="00A0727A">
      <w:pPr>
        <w:pStyle w:val="NoSpacing"/>
        <w:numPr>
          <w:ilvl w:val="0"/>
          <w:numId w:val="64"/>
        </w:numPr>
        <w:spacing w:after="120"/>
      </w:pPr>
      <w:r w:rsidRPr="00A775DD">
        <w:t>change in work circumstances</w:t>
      </w:r>
    </w:p>
    <w:p w14:paraId="37F2ECE0" w14:textId="77777777" w:rsidR="00594984" w:rsidRPr="00A775DD" w:rsidRDefault="00594984" w:rsidP="00A0727A">
      <w:pPr>
        <w:pStyle w:val="NoSpacing"/>
        <w:numPr>
          <w:ilvl w:val="0"/>
          <w:numId w:val="64"/>
        </w:numPr>
        <w:spacing w:after="120"/>
      </w:pPr>
      <w:r w:rsidRPr="00A775DD">
        <w:t>serious financial difficulties</w:t>
      </w:r>
      <w:r w:rsidR="006A54AA" w:rsidRPr="00A775DD">
        <w:t>.</w:t>
      </w:r>
    </w:p>
    <w:p w14:paraId="364197E2" w14:textId="7457F2AF" w:rsidR="00281C13" w:rsidRPr="00A775DD" w:rsidRDefault="00281C13" w:rsidP="0028499D">
      <w:pPr>
        <w:pStyle w:val="Heading3"/>
        <w:keepNext/>
        <w:keepLines/>
      </w:pPr>
      <w:bookmarkStart w:id="26" w:name="_Toc501621163"/>
      <w:r w:rsidRPr="00A775DD">
        <w:t>2.2.2   Timing</w:t>
      </w:r>
      <w:bookmarkEnd w:id="26"/>
    </w:p>
    <w:p w14:paraId="0D6C76C5" w14:textId="77777777" w:rsidR="00594984" w:rsidRPr="00A775DD" w:rsidRDefault="00594984" w:rsidP="00594984">
      <w:pPr>
        <w:rPr>
          <w:b/>
        </w:rPr>
      </w:pPr>
      <w:r w:rsidRPr="00A775DD">
        <w:rPr>
          <w:b/>
        </w:rPr>
        <w:t>Applications close 31 January 2018</w:t>
      </w:r>
      <w:r w:rsidR="00281C13" w:rsidRPr="00A775DD">
        <w:rPr>
          <w:b/>
        </w:rPr>
        <w:t xml:space="preserve">. </w:t>
      </w:r>
    </w:p>
    <w:p w14:paraId="151529DA" w14:textId="77777777" w:rsidR="00281C13" w:rsidRDefault="00281C13" w:rsidP="0028499D">
      <w:pPr>
        <w:spacing w:after="120"/>
      </w:pPr>
      <w:r w:rsidRPr="00A775DD">
        <w:t>Providers should ensure enrolment data is uploaded in sufficient time to allow students to submit their exceptional circumstance opt-in request by 31 January 2018.</w:t>
      </w:r>
    </w:p>
    <w:p w14:paraId="777AE9B5" w14:textId="4EC9E58E" w:rsidR="00594984" w:rsidRPr="0028499D" w:rsidRDefault="00A04573" w:rsidP="00AE77BF">
      <w:pPr>
        <w:pStyle w:val="Heading2"/>
        <w:rPr>
          <w:rFonts w:eastAsia="Times New Roman"/>
        </w:rPr>
      </w:pPr>
      <w:bookmarkStart w:id="27" w:name="_2.3_Reporting_grandfathered"/>
      <w:bookmarkStart w:id="28" w:name="_Toc501621164"/>
      <w:bookmarkEnd w:id="27"/>
      <w:r w:rsidRPr="00AE77BF">
        <w:rPr>
          <w:rFonts w:eastAsia="Times New Roman"/>
        </w:rPr>
        <w:t xml:space="preserve">2.3 </w:t>
      </w:r>
      <w:r>
        <w:rPr>
          <w:rFonts w:eastAsia="Times New Roman"/>
        </w:rPr>
        <w:t>Reporting</w:t>
      </w:r>
      <w:r w:rsidR="00594984" w:rsidRPr="00AE77BF">
        <w:rPr>
          <w:rFonts w:eastAsia="Times New Roman"/>
        </w:rPr>
        <w:t xml:space="preserve"> grandfathered students</w:t>
      </w:r>
      <w:bookmarkEnd w:id="28"/>
    </w:p>
    <w:p w14:paraId="4164B55F" w14:textId="4C4BA172" w:rsidR="00594984" w:rsidRDefault="00594984" w:rsidP="00594984">
      <w:pPr>
        <w:rPr>
          <w:lang w:val="en-GB" w:eastAsia="en-AU"/>
        </w:rPr>
      </w:pPr>
      <w:r w:rsidRPr="00736F23">
        <w:rPr>
          <w:lang w:val="en-GB" w:eastAsia="en-AU"/>
        </w:rPr>
        <w:t xml:space="preserve">From the perspective of data reporting, the requirements for </w:t>
      </w:r>
      <w:r w:rsidR="00575E9D">
        <w:rPr>
          <w:lang w:val="en-GB" w:eastAsia="en-AU"/>
        </w:rPr>
        <w:t xml:space="preserve">reporting grandfathered students </w:t>
      </w:r>
      <w:r w:rsidRPr="00736F23">
        <w:rPr>
          <w:lang w:val="en-GB" w:eastAsia="en-AU"/>
        </w:rPr>
        <w:t xml:space="preserve">are </w:t>
      </w:r>
      <w:r>
        <w:rPr>
          <w:lang w:val="en-GB" w:eastAsia="en-AU"/>
        </w:rPr>
        <w:t>consistent with</w:t>
      </w:r>
      <w:r w:rsidRPr="00736F23">
        <w:rPr>
          <w:lang w:val="en-GB" w:eastAsia="en-AU"/>
        </w:rPr>
        <w:t xml:space="preserve"> the 201</w:t>
      </w:r>
      <w:r w:rsidR="00575E9D">
        <w:rPr>
          <w:lang w:val="en-GB" w:eastAsia="en-AU"/>
        </w:rPr>
        <w:t>6</w:t>
      </w:r>
      <w:r w:rsidR="00C81102">
        <w:rPr>
          <w:lang w:val="en-GB" w:eastAsia="en-AU"/>
        </w:rPr>
        <w:t xml:space="preserve"> and 2017</w:t>
      </w:r>
      <w:r w:rsidRPr="00736F23">
        <w:rPr>
          <w:lang w:val="en-GB" w:eastAsia="en-AU"/>
        </w:rPr>
        <w:t xml:space="preserve"> reporting requirements for VET FEE-HELP. There </w:t>
      </w:r>
      <w:r w:rsidR="00575E9D">
        <w:rPr>
          <w:lang w:val="en-GB" w:eastAsia="en-AU"/>
        </w:rPr>
        <w:t>ha</w:t>
      </w:r>
      <w:r w:rsidR="001F4530">
        <w:rPr>
          <w:lang w:val="en-GB" w:eastAsia="en-AU"/>
        </w:rPr>
        <w:t>ve</w:t>
      </w:r>
      <w:r w:rsidR="00575E9D">
        <w:rPr>
          <w:lang w:val="en-GB" w:eastAsia="en-AU"/>
        </w:rPr>
        <w:t xml:space="preserve"> been</w:t>
      </w:r>
      <w:r w:rsidR="00575E9D" w:rsidRPr="00736F23">
        <w:rPr>
          <w:lang w:val="en-GB" w:eastAsia="en-AU"/>
        </w:rPr>
        <w:t xml:space="preserve"> </w:t>
      </w:r>
      <w:r w:rsidRPr="00736F23">
        <w:rPr>
          <w:lang w:val="en-GB" w:eastAsia="en-AU"/>
        </w:rPr>
        <w:t xml:space="preserve">some minor modifications to existing coding notes and documentation to indicate </w:t>
      </w:r>
      <w:r>
        <w:rPr>
          <w:lang w:val="en-GB" w:eastAsia="en-AU"/>
        </w:rPr>
        <w:t>codes that apply to VET</w:t>
      </w:r>
      <w:r w:rsidR="001F4530">
        <w:rPr>
          <w:lang w:val="en-GB" w:eastAsia="en-AU"/>
        </w:rPr>
        <w:t> </w:t>
      </w:r>
      <w:r>
        <w:rPr>
          <w:lang w:val="en-GB" w:eastAsia="en-AU"/>
        </w:rPr>
        <w:t>FEE</w:t>
      </w:r>
      <w:r>
        <w:rPr>
          <w:lang w:val="en-GB" w:eastAsia="en-AU"/>
        </w:rPr>
        <w:noBreakHyphen/>
      </w:r>
      <w:r w:rsidRPr="00736F23">
        <w:rPr>
          <w:lang w:val="en-GB" w:eastAsia="en-AU"/>
        </w:rPr>
        <w:t>HELP and to VET Student Loans.</w:t>
      </w:r>
    </w:p>
    <w:p w14:paraId="4F8ED7A6" w14:textId="77777777" w:rsidR="00594984" w:rsidRDefault="00594984" w:rsidP="00594984">
      <w:pPr>
        <w:rPr>
          <w:lang w:val="en-GB" w:eastAsia="en-AU"/>
        </w:rPr>
      </w:pPr>
      <w:r>
        <w:rPr>
          <w:lang w:val="en-GB" w:eastAsia="en-AU"/>
        </w:rPr>
        <w:t xml:space="preserve">For information about reporting of VET FEE-HELP grandfathered students with a superseded course, refer </w:t>
      </w:r>
      <w:r w:rsidR="00F722B9">
        <w:rPr>
          <w:lang w:val="en-GB" w:eastAsia="en-AU"/>
        </w:rPr>
        <w:t xml:space="preserve">to </w:t>
      </w:r>
      <w:hyperlink w:anchor="_2.4_Superseded_courses" w:history="1">
        <w:r w:rsidR="00F722B9" w:rsidRPr="00F722B9">
          <w:rPr>
            <w:rStyle w:val="Hyperlink"/>
            <w:lang w:val="en-GB" w:eastAsia="en-AU"/>
          </w:rPr>
          <w:t>section 2.4</w:t>
        </w:r>
      </w:hyperlink>
      <w:r w:rsidR="00F722B9">
        <w:rPr>
          <w:lang w:val="en-GB" w:eastAsia="en-AU"/>
        </w:rPr>
        <w:t xml:space="preserve"> </w:t>
      </w:r>
      <w:r w:rsidR="008A19A7">
        <w:rPr>
          <w:lang w:val="en-GB" w:eastAsia="en-AU"/>
        </w:rPr>
        <w:t>below</w:t>
      </w:r>
      <w:r>
        <w:rPr>
          <w:lang w:val="en-GB" w:eastAsia="en-AU"/>
        </w:rPr>
        <w:t>.</w:t>
      </w:r>
    </w:p>
    <w:p w14:paraId="35F3E8DA" w14:textId="77777777" w:rsidR="00594984" w:rsidRPr="00A443F2" w:rsidRDefault="00594984" w:rsidP="00A443F2">
      <w:pPr>
        <w:rPr>
          <w:lang w:val="en-GB" w:eastAsia="en-AU"/>
        </w:rPr>
      </w:pPr>
      <w:r w:rsidRPr="00A443F2">
        <w:rPr>
          <w:lang w:val="en-GB" w:eastAsia="en-AU"/>
        </w:rPr>
        <w:t>The reference number provided to students who opt in to continue their studies under the existing VET FEE-HELP arrangements is not reported in the VET Student submission.</w:t>
      </w:r>
    </w:p>
    <w:p w14:paraId="6938BC19" w14:textId="6C0FEE08" w:rsidR="00983AE6" w:rsidRPr="00AE77BF" w:rsidRDefault="00A04573" w:rsidP="00983AE6">
      <w:pPr>
        <w:pStyle w:val="Heading2"/>
        <w:rPr>
          <w:rFonts w:eastAsia="Times New Roman"/>
        </w:rPr>
      </w:pPr>
      <w:bookmarkStart w:id="29" w:name="_2.3_Superseded_courses"/>
      <w:bookmarkStart w:id="30" w:name="_2.4_Superseded_courses"/>
      <w:bookmarkStart w:id="31" w:name="_Toc471804520"/>
      <w:bookmarkStart w:id="32" w:name="_Toc477498822"/>
      <w:bookmarkStart w:id="33" w:name="_Toc477959995"/>
      <w:bookmarkStart w:id="34" w:name="_Toc483222790"/>
      <w:bookmarkStart w:id="35" w:name="_Toc501621165"/>
      <w:bookmarkEnd w:id="29"/>
      <w:bookmarkEnd w:id="30"/>
      <w:r w:rsidRPr="00AE77BF">
        <w:rPr>
          <w:rFonts w:eastAsia="Times New Roman"/>
        </w:rPr>
        <w:t xml:space="preserve">2.4 </w:t>
      </w:r>
      <w:r>
        <w:rPr>
          <w:rFonts w:eastAsia="Times New Roman"/>
        </w:rPr>
        <w:t>Superseded</w:t>
      </w:r>
      <w:r w:rsidR="00983AE6" w:rsidRPr="00AE77BF">
        <w:rPr>
          <w:rFonts w:eastAsia="Times New Roman"/>
        </w:rPr>
        <w:t xml:space="preserve"> courses</w:t>
      </w:r>
      <w:bookmarkEnd w:id="31"/>
      <w:bookmarkEnd w:id="32"/>
      <w:bookmarkEnd w:id="33"/>
      <w:bookmarkEnd w:id="34"/>
      <w:bookmarkEnd w:id="35"/>
    </w:p>
    <w:p w14:paraId="4095012B" w14:textId="4DFA4FF0" w:rsidR="00640408" w:rsidRDefault="00640408" w:rsidP="00983AE6">
      <w:r w:rsidRPr="00640408">
        <w:rPr>
          <w:b/>
        </w:rPr>
        <w:t>For information regarding superseded course</w:t>
      </w:r>
      <w:r>
        <w:rPr>
          <w:b/>
        </w:rPr>
        <w:t>s</w:t>
      </w:r>
      <w:r w:rsidRPr="00640408">
        <w:rPr>
          <w:b/>
        </w:rPr>
        <w:t xml:space="preserve"> for </w:t>
      </w:r>
      <w:r>
        <w:rPr>
          <w:b/>
        </w:rPr>
        <w:t>VET Student Loans</w:t>
      </w:r>
      <w:r w:rsidRPr="00640408">
        <w:rPr>
          <w:b/>
        </w:rPr>
        <w:t xml:space="preserve"> student</w:t>
      </w:r>
      <w:r>
        <w:rPr>
          <w:b/>
        </w:rPr>
        <w:t>s</w:t>
      </w:r>
      <w:r w:rsidRPr="00640408">
        <w:rPr>
          <w:b/>
        </w:rPr>
        <w:t xml:space="preserve"> see</w:t>
      </w:r>
      <w:r>
        <w:rPr>
          <w:b/>
        </w:rPr>
        <w:t xml:space="preserve"> </w:t>
      </w:r>
      <w:hyperlink w:anchor="_4.5.3__" w:history="1">
        <w:r w:rsidR="00B5220E">
          <w:rPr>
            <w:rStyle w:val="Hyperlink"/>
          </w:rPr>
          <w:t>4.5.3</w:t>
        </w:r>
      </w:hyperlink>
      <w:r>
        <w:rPr>
          <w:b/>
        </w:rPr>
        <w:t>.</w:t>
      </w:r>
    </w:p>
    <w:p w14:paraId="2F5AB2A7" w14:textId="16D99AA8" w:rsidR="00983AE6" w:rsidRPr="009D04F4" w:rsidRDefault="00983AE6" w:rsidP="00983AE6">
      <w:r w:rsidRPr="00B32D9E">
        <w:t xml:space="preserve">Training packages are regularly updated. In the case where there is a replacement </w:t>
      </w:r>
      <w:r w:rsidR="00C81102">
        <w:t xml:space="preserve">course </w:t>
      </w:r>
      <w:r w:rsidRPr="00B32D9E">
        <w:t xml:space="preserve">for a superseded course, the student may be required to transition </w:t>
      </w:r>
      <w:r w:rsidR="00C81102">
        <w:t xml:space="preserve">from the superseded course </w:t>
      </w:r>
      <w:r w:rsidRPr="00B32D9E">
        <w:t xml:space="preserve">to </w:t>
      </w:r>
      <w:r w:rsidR="00C81102">
        <w:t>the</w:t>
      </w:r>
      <w:r w:rsidRPr="00B32D9E">
        <w:t xml:space="preserve"> replacement course. Grandfathered VET</w:t>
      </w:r>
      <w:r w:rsidR="00914A1A">
        <w:t> </w:t>
      </w:r>
      <w:r w:rsidRPr="00B32D9E">
        <w:t>FEE</w:t>
      </w:r>
      <w:r w:rsidR="00914A1A">
        <w:rPr>
          <w:rFonts w:cstheme="minorHAnsi"/>
        </w:rPr>
        <w:t>−</w:t>
      </w:r>
      <w:r w:rsidRPr="00B32D9E">
        <w:t xml:space="preserve">HELP students can continue to access VET FEE-HELP when moving to a current version of a superseded course as long as other grandfathering requirements are met (see </w:t>
      </w:r>
      <w:hyperlink w:anchor="_2.1_Grandfathering_2017" w:history="1">
        <w:r w:rsidRPr="00EB14CD">
          <w:rPr>
            <w:rStyle w:val="Hyperlink"/>
          </w:rPr>
          <w:t>section 2.1</w:t>
        </w:r>
      </w:hyperlink>
      <w:r w:rsidR="00344253">
        <w:rPr>
          <w:rStyle w:val="Hyperlink"/>
        </w:rPr>
        <w:t xml:space="preserve"> </w:t>
      </w:r>
      <w:r w:rsidR="00344253" w:rsidRPr="00344253">
        <w:rPr>
          <w:rStyle w:val="Hyperlink"/>
          <w:b w:val="0"/>
        </w:rPr>
        <w:t xml:space="preserve">and </w:t>
      </w:r>
      <w:hyperlink w:anchor="_2.2_Grandfathering_2018" w:history="1">
        <w:r w:rsidR="00344253" w:rsidRPr="00684FA7">
          <w:rPr>
            <w:rStyle w:val="Hyperlink"/>
          </w:rPr>
          <w:t>section 2.2</w:t>
        </w:r>
      </w:hyperlink>
      <w:r w:rsidRPr="00B32D9E">
        <w:t xml:space="preserve">). In this situation, the student </w:t>
      </w:r>
      <w:r w:rsidRPr="005D6EA6">
        <w:rPr>
          <w:u w:val="single"/>
        </w:rPr>
        <w:t>would</w:t>
      </w:r>
      <w:r w:rsidRPr="00B32D9E">
        <w:t xml:space="preserve"> have to complete another Commonwealth Assistance Form (CAF)</w:t>
      </w:r>
      <w:r w:rsidR="005D6EA6">
        <w:t>,</w:t>
      </w:r>
      <w:r w:rsidR="005D6EA6" w:rsidRPr="005D6EA6">
        <w:rPr>
          <w:rFonts w:ascii="Arial" w:hAnsi="Arial" w:cs="Arial"/>
        </w:rPr>
        <w:t xml:space="preserve"> </w:t>
      </w:r>
      <w:r w:rsidR="005D6EA6" w:rsidRPr="005D6EA6">
        <w:t xml:space="preserve">nominating the current course on the form. The completion of a new CAF does not impact eligibility for grandfathering under these circumstances – students may </w:t>
      </w:r>
      <w:r w:rsidR="005D6EA6" w:rsidRPr="009D04F4">
        <w:t>rely upon their previously completed opt-in confirmation as noted above.</w:t>
      </w:r>
    </w:p>
    <w:p w14:paraId="458476F3" w14:textId="77777777" w:rsidR="00914A1A" w:rsidRDefault="00983AE6" w:rsidP="00983AE6">
      <w:pPr>
        <w:rPr>
          <w:rStyle w:val="Strong"/>
          <w:b w:val="0"/>
          <w:color w:val="000000" w:themeColor="text1"/>
        </w:rPr>
      </w:pPr>
      <w:r w:rsidRPr="00A775DD">
        <w:rPr>
          <w:rStyle w:val="Strong"/>
          <w:b w:val="0"/>
          <w:color w:val="000000" w:themeColor="text1"/>
        </w:rPr>
        <w:t>Providers should advise the department of all instances where a grandfathered student is required to transition to a replacement course.</w:t>
      </w:r>
    </w:p>
    <w:p w14:paraId="05D430A8" w14:textId="77777777" w:rsidR="00914A1A" w:rsidRPr="00914A1A" w:rsidRDefault="00914A1A" w:rsidP="00914A1A">
      <w:pPr>
        <w:rPr>
          <w:color w:val="000000" w:themeColor="text1"/>
        </w:rPr>
      </w:pPr>
      <w:r w:rsidRPr="00914A1A">
        <w:rPr>
          <w:color w:val="000000" w:themeColor="text1"/>
        </w:rPr>
        <w:t>Providers will need to report (through HEIMS/HEPCAT) the replacement/</w:t>
      </w:r>
      <w:r w:rsidR="00FD49E7">
        <w:rPr>
          <w:color w:val="000000" w:themeColor="text1"/>
        </w:rPr>
        <w:t>current</w:t>
      </w:r>
      <w:r w:rsidRPr="00914A1A">
        <w:rPr>
          <w:color w:val="000000" w:themeColor="text1"/>
        </w:rPr>
        <w:t xml:space="preserve"> course in their course submission for 2017 and ensure the student’s data references the new course. VET FEE-HELP students must have opted-in to continue to access VFH into 2017 and provided their opt-in confirmation letter </w:t>
      </w:r>
      <w:r w:rsidR="00FD49E7">
        <w:rPr>
          <w:color w:val="000000" w:themeColor="text1"/>
        </w:rPr>
        <w:t xml:space="preserve">(related to the superseded course) </w:t>
      </w:r>
      <w:r w:rsidRPr="00914A1A">
        <w:rPr>
          <w:color w:val="000000" w:themeColor="text1"/>
        </w:rPr>
        <w:t>attached to their confirmation email to their provider.</w:t>
      </w:r>
    </w:p>
    <w:p w14:paraId="385B517B" w14:textId="77777777" w:rsidR="00983AE6" w:rsidRPr="003A3715" w:rsidRDefault="00180EA0" w:rsidP="00983AE6">
      <w:pPr>
        <w:rPr>
          <w:rStyle w:val="Strong"/>
          <w:b w:val="0"/>
        </w:rPr>
      </w:pPr>
      <w:r w:rsidRPr="00375A0A">
        <w:rPr>
          <w:bCs/>
          <w:color w:val="000000" w:themeColor="text1"/>
        </w:rPr>
        <w:t>VET FEE</w:t>
      </w:r>
      <w:r w:rsidRPr="00375A0A">
        <w:rPr>
          <w:bCs/>
          <w:color w:val="000000" w:themeColor="text1"/>
        </w:rPr>
        <w:noBreakHyphen/>
        <w:t>HELP Request for Commonwealth Assistance forms continue to be available and may be used for this purpose only.</w:t>
      </w:r>
      <w:r w:rsidR="006B035E" w:rsidRPr="00375A0A">
        <w:rPr>
          <w:bCs/>
          <w:color w:val="000000" w:themeColor="text1"/>
        </w:rPr>
        <w:t xml:space="preserve"> </w:t>
      </w:r>
      <w:r w:rsidR="00914A1A" w:rsidRPr="00914A1A">
        <w:rPr>
          <w:bCs/>
          <w:color w:val="000000" w:themeColor="text1"/>
        </w:rPr>
        <w:t>VET FEE</w:t>
      </w:r>
      <w:r w:rsidR="00914A1A" w:rsidRPr="00914A1A">
        <w:rPr>
          <w:bCs/>
          <w:color w:val="000000" w:themeColor="text1"/>
        </w:rPr>
        <w:noBreakHyphen/>
        <w:t>HELP providers should send order request for</w:t>
      </w:r>
      <w:r w:rsidR="00914A1A">
        <w:rPr>
          <w:bCs/>
          <w:color w:val="000000" w:themeColor="text1"/>
        </w:rPr>
        <w:t xml:space="preserve"> VET FEE-HELP</w:t>
      </w:r>
      <w:r w:rsidR="00914A1A" w:rsidRPr="00914A1A">
        <w:rPr>
          <w:bCs/>
          <w:color w:val="000000" w:themeColor="text1"/>
        </w:rPr>
        <w:t xml:space="preserve"> Request for </w:t>
      </w:r>
      <w:r w:rsidR="00914A1A" w:rsidRPr="00914A1A">
        <w:rPr>
          <w:bCs/>
          <w:color w:val="000000" w:themeColor="text1"/>
        </w:rPr>
        <w:lastRenderedPageBreak/>
        <w:t xml:space="preserve">Commonwealth Assistance forms, including the number of CAFs required, to </w:t>
      </w:r>
      <w:hyperlink r:id="rId35" w:history="1">
        <w:r w:rsidR="00914A1A" w:rsidRPr="00411670">
          <w:rPr>
            <w:rStyle w:val="Hyperlink"/>
            <w:bCs/>
            <w:u w:val="single"/>
          </w:rPr>
          <w:t>HEEnquiries@education.gov.au</w:t>
        </w:r>
      </w:hyperlink>
      <w:r w:rsidR="00914A1A" w:rsidRPr="00914A1A">
        <w:rPr>
          <w:bCs/>
          <w:color w:val="000000" w:themeColor="text1"/>
        </w:rPr>
        <w:t>.</w:t>
      </w:r>
    </w:p>
    <w:p w14:paraId="2251BB38" w14:textId="77777777" w:rsidR="00983AE6" w:rsidRPr="00327304" w:rsidRDefault="00983AE6" w:rsidP="00983AE6">
      <w:pPr>
        <w:rPr>
          <w:bCs/>
          <w:color w:val="000000" w:themeColor="text1"/>
        </w:rPr>
      </w:pPr>
      <w:r w:rsidRPr="00A52B1C">
        <w:rPr>
          <w:rStyle w:val="Strong"/>
        </w:rPr>
        <w:t>NOTE: when a student transitions to the new version of a superseded course, the provider must meet Australian Skills Quality Authority (ASQA) requirements for enrolment.</w:t>
      </w:r>
      <w:bookmarkStart w:id="36" w:name="_Toc477498823"/>
      <w:bookmarkStart w:id="37" w:name="_Toc477959996"/>
      <w:bookmarkStart w:id="38" w:name="_Toc483222791"/>
    </w:p>
    <w:p w14:paraId="34881D86" w14:textId="15EBAA87" w:rsidR="00983AE6" w:rsidRPr="00AE77BF" w:rsidRDefault="00A04573" w:rsidP="00983AE6">
      <w:pPr>
        <w:pStyle w:val="Heading2"/>
        <w:rPr>
          <w:rFonts w:eastAsia="Times New Roman"/>
        </w:rPr>
      </w:pPr>
      <w:bookmarkStart w:id="39" w:name="_Toc501621166"/>
      <w:r w:rsidRPr="00AE77BF">
        <w:rPr>
          <w:rFonts w:eastAsia="Times New Roman"/>
        </w:rPr>
        <w:t>2.5</w:t>
      </w:r>
      <w:r>
        <w:rPr>
          <w:rFonts w:eastAsia="Times New Roman"/>
        </w:rPr>
        <w:t xml:space="preserve"> </w:t>
      </w:r>
      <w:r w:rsidRPr="00AE77BF">
        <w:rPr>
          <w:rFonts w:eastAsia="Times New Roman"/>
        </w:rPr>
        <w:t>Students</w:t>
      </w:r>
      <w:r w:rsidR="00983AE6" w:rsidRPr="00AE77BF">
        <w:rPr>
          <w:rFonts w:eastAsia="Times New Roman"/>
        </w:rPr>
        <w:t xml:space="preserve"> switching to VET Student Loans</w:t>
      </w:r>
      <w:bookmarkEnd w:id="36"/>
      <w:bookmarkEnd w:id="37"/>
      <w:bookmarkEnd w:id="38"/>
      <w:bookmarkEnd w:id="39"/>
    </w:p>
    <w:p w14:paraId="64E170C6" w14:textId="68C7991D" w:rsidR="00983AE6" w:rsidRDefault="00983AE6" w:rsidP="00983AE6">
      <w:r w:rsidRPr="00D252DF">
        <w:t>Subject to meeting eligibility criteria including the</w:t>
      </w:r>
      <w:r>
        <w:t xml:space="preserve"> FEE-</w:t>
      </w:r>
      <w:r w:rsidRPr="00D252DF">
        <w:t>HELP limit, a continuing student can access a VET Student Loan up to the full course cap amount regardless of whether they have accessed VET</w:t>
      </w:r>
      <w:r w:rsidR="00D07C56">
        <w:t> </w:t>
      </w:r>
      <w:r w:rsidRPr="00D252DF">
        <w:t>FEE</w:t>
      </w:r>
      <w:r w:rsidR="00B60AF0">
        <w:rPr>
          <w:rFonts w:cstheme="minorHAnsi"/>
        </w:rPr>
        <w:t>−</w:t>
      </w:r>
      <w:r w:rsidRPr="00D252DF">
        <w:t xml:space="preserve">HELP in the past. The student’s VET Student loan cap will exclude any pre-existing VFH debt incurred for the same course. </w:t>
      </w:r>
      <w:r w:rsidRPr="00736F23">
        <w:t xml:space="preserve">The </w:t>
      </w:r>
      <w:r>
        <w:t xml:space="preserve">maximum </w:t>
      </w:r>
      <w:r w:rsidRPr="00736F23">
        <w:t xml:space="preserve">loan </w:t>
      </w:r>
      <w:r>
        <w:t xml:space="preserve">amount for the VET Student Loans approved course </w:t>
      </w:r>
      <w:r w:rsidRPr="00736F23">
        <w:t xml:space="preserve">applies </w:t>
      </w:r>
      <w:r>
        <w:t>only to</w:t>
      </w:r>
      <w:r w:rsidRPr="00736F23">
        <w:t xml:space="preserve"> enrolment </w:t>
      </w:r>
      <w:r>
        <w:t xml:space="preserve">in the course </w:t>
      </w:r>
      <w:r w:rsidRPr="00736F23">
        <w:t>under VET Student Loans.</w:t>
      </w:r>
    </w:p>
    <w:p w14:paraId="37B046A1" w14:textId="39AA803D" w:rsidR="00983AE6" w:rsidRPr="00AE77BF" w:rsidRDefault="00A04573" w:rsidP="00AE77BF">
      <w:pPr>
        <w:pStyle w:val="Heading2"/>
        <w:rPr>
          <w:rFonts w:eastAsia="Times New Roman"/>
        </w:rPr>
      </w:pPr>
      <w:bookmarkStart w:id="40" w:name="_Toc471804521"/>
      <w:bookmarkStart w:id="41" w:name="_Toc477498824"/>
      <w:bookmarkStart w:id="42" w:name="_Toc477959997"/>
      <w:bookmarkStart w:id="43" w:name="_Toc483222792"/>
      <w:bookmarkStart w:id="44" w:name="_Toc501621167"/>
      <w:r w:rsidRPr="00AE77BF">
        <w:rPr>
          <w:rFonts w:eastAsia="Times New Roman"/>
        </w:rPr>
        <w:t xml:space="preserve">2.6 </w:t>
      </w:r>
      <w:r>
        <w:rPr>
          <w:rFonts w:eastAsia="Times New Roman"/>
        </w:rPr>
        <w:t>Changes</w:t>
      </w:r>
      <w:r w:rsidR="00983AE6" w:rsidRPr="00AE77BF">
        <w:rPr>
          <w:rFonts w:eastAsia="Times New Roman"/>
        </w:rPr>
        <w:t xml:space="preserve"> in corporate structure</w:t>
      </w:r>
      <w:bookmarkEnd w:id="40"/>
      <w:bookmarkEnd w:id="41"/>
      <w:bookmarkEnd w:id="42"/>
      <w:bookmarkEnd w:id="43"/>
      <w:bookmarkEnd w:id="44"/>
    </w:p>
    <w:p w14:paraId="00925B25" w14:textId="16980447" w:rsidR="00983AE6" w:rsidRPr="00736F23" w:rsidRDefault="00983AE6" w:rsidP="00983AE6">
      <w:r>
        <w:t xml:space="preserve">To be approved as an approved course provider under VET Student Loans a provider must be a body corporate that is </w:t>
      </w:r>
      <w:r w:rsidRPr="00866C8F">
        <w:rPr>
          <w:u w:val="single"/>
        </w:rPr>
        <w:t>not</w:t>
      </w:r>
      <w:r>
        <w:t xml:space="preserve"> a trustee </w:t>
      </w:r>
      <w:r w:rsidRPr="003D690E">
        <w:rPr>
          <w:rStyle w:val="ReferenceChar"/>
        </w:rPr>
        <w:t>[Act s 25(2)(a)]</w:t>
      </w:r>
      <w:r>
        <w:t>. It must also be a registered training organisation</w:t>
      </w:r>
      <w:r w:rsidR="00B45217">
        <w:t xml:space="preserve"> </w:t>
      </w:r>
      <w:r w:rsidR="00B45217">
        <w:rPr>
          <w:rStyle w:val="ReferenceChar"/>
        </w:rPr>
        <w:t>[Act</w:t>
      </w:r>
      <w:r w:rsidR="00D07C56">
        <w:rPr>
          <w:rStyle w:val="ReferenceChar"/>
        </w:rPr>
        <w:t> </w:t>
      </w:r>
      <w:r w:rsidR="00B45217">
        <w:rPr>
          <w:rStyle w:val="ReferenceChar"/>
        </w:rPr>
        <w:t>s</w:t>
      </w:r>
      <w:r w:rsidR="00D07C56">
        <w:rPr>
          <w:rStyle w:val="ReferenceChar"/>
        </w:rPr>
        <w:t> </w:t>
      </w:r>
      <w:r w:rsidR="00B45217">
        <w:rPr>
          <w:rStyle w:val="ReferenceChar"/>
        </w:rPr>
        <w:t>25(2)(d</w:t>
      </w:r>
      <w:r w:rsidR="00B45217" w:rsidRPr="003D690E">
        <w:rPr>
          <w:rStyle w:val="ReferenceChar"/>
        </w:rPr>
        <w:t>)]</w:t>
      </w:r>
      <w:r>
        <w:t xml:space="preserve">. Where a provider changes its corporate structure to satisfy the </w:t>
      </w:r>
      <w:r w:rsidRPr="00736F23">
        <w:t>VET Student Loans requirements</w:t>
      </w:r>
      <w:r>
        <w:t xml:space="preserve">, it must </w:t>
      </w:r>
      <w:r w:rsidRPr="00736F23">
        <w:t>ensure that the entity</w:t>
      </w:r>
      <w:r>
        <w:t xml:space="preserve"> that applies for approval under VET Student Loans is not a trustee and holds the RTO status. This will therefore not impact any concurrent RTO approval of that company </w:t>
      </w:r>
      <w:r w:rsidRPr="008C5611">
        <w:t>for VET FEE-HELP.</w:t>
      </w:r>
    </w:p>
    <w:p w14:paraId="09BF46F4" w14:textId="7FB47ECF" w:rsidR="00983AE6" w:rsidRPr="00AE77BF" w:rsidRDefault="00A04573" w:rsidP="00983AE6">
      <w:pPr>
        <w:pStyle w:val="Heading2"/>
        <w:rPr>
          <w:rFonts w:eastAsia="Times New Roman"/>
        </w:rPr>
      </w:pPr>
      <w:bookmarkStart w:id="45" w:name="_Toc471804522"/>
      <w:bookmarkStart w:id="46" w:name="_Toc477498825"/>
      <w:bookmarkStart w:id="47" w:name="_Toc477959998"/>
      <w:bookmarkStart w:id="48" w:name="_Toc483222793"/>
      <w:bookmarkStart w:id="49" w:name="_Toc501621168"/>
      <w:r w:rsidRPr="00AE77BF">
        <w:rPr>
          <w:rFonts w:eastAsia="Times New Roman"/>
        </w:rPr>
        <w:t xml:space="preserve">2.7 </w:t>
      </w:r>
      <w:r>
        <w:rPr>
          <w:rFonts w:eastAsia="Times New Roman"/>
        </w:rPr>
        <w:t>Continuing</w:t>
      </w:r>
      <w:r w:rsidR="00983AE6" w:rsidRPr="00AE77BF">
        <w:rPr>
          <w:rFonts w:eastAsia="Times New Roman"/>
        </w:rPr>
        <w:t xml:space="preserve"> third party arrangements</w:t>
      </w:r>
      <w:bookmarkEnd w:id="45"/>
      <w:bookmarkEnd w:id="46"/>
      <w:bookmarkEnd w:id="47"/>
      <w:bookmarkEnd w:id="48"/>
      <w:bookmarkEnd w:id="49"/>
    </w:p>
    <w:p w14:paraId="0A11AE13" w14:textId="77777777" w:rsidR="00983AE6" w:rsidRDefault="00983AE6" w:rsidP="00983AE6">
      <w:pPr>
        <w:rPr>
          <w:lang w:val="en-GB" w:eastAsia="en-AU"/>
        </w:rPr>
      </w:pPr>
      <w:r w:rsidRPr="00736F23">
        <w:rPr>
          <w:lang w:val="en-GB" w:eastAsia="en-AU"/>
        </w:rPr>
        <w:t>A provider may continue its third party arrangements (TPA)</w:t>
      </w:r>
      <w:r>
        <w:rPr>
          <w:lang w:val="en-GB" w:eastAsia="en-AU"/>
        </w:rPr>
        <w:t xml:space="preserve"> it established under VET FEE</w:t>
      </w:r>
      <w:r>
        <w:rPr>
          <w:lang w:val="en-GB" w:eastAsia="en-AU"/>
        </w:rPr>
        <w:noBreakHyphen/>
        <w:t>HELP</w:t>
      </w:r>
      <w:r w:rsidRPr="00736F23">
        <w:rPr>
          <w:lang w:val="en-GB" w:eastAsia="en-AU"/>
        </w:rPr>
        <w:t xml:space="preserve"> </w:t>
      </w:r>
      <w:r>
        <w:rPr>
          <w:lang w:val="en-GB" w:eastAsia="en-AU"/>
        </w:rPr>
        <w:t>for</w:t>
      </w:r>
      <w:r w:rsidRPr="00736F23">
        <w:rPr>
          <w:lang w:val="en-GB" w:eastAsia="en-AU"/>
        </w:rPr>
        <w:t xml:space="preserve"> the </w:t>
      </w:r>
      <w:r>
        <w:rPr>
          <w:lang w:val="en-GB" w:eastAsia="en-AU"/>
        </w:rPr>
        <w:t>delivery of courses for</w:t>
      </w:r>
      <w:r w:rsidRPr="00736F23">
        <w:rPr>
          <w:lang w:val="en-GB" w:eastAsia="en-AU"/>
        </w:rPr>
        <w:t xml:space="preserve"> grandfathered</w:t>
      </w:r>
      <w:r>
        <w:rPr>
          <w:lang w:val="en-GB" w:eastAsia="en-AU"/>
        </w:rPr>
        <w:t xml:space="preserve"> VET FEE</w:t>
      </w:r>
      <w:r>
        <w:rPr>
          <w:lang w:val="en-GB" w:eastAsia="en-AU"/>
        </w:rPr>
        <w:noBreakHyphen/>
        <w:t>HELP</w:t>
      </w:r>
      <w:r w:rsidRPr="00736F23">
        <w:rPr>
          <w:lang w:val="en-GB" w:eastAsia="en-AU"/>
        </w:rPr>
        <w:t xml:space="preserve"> students</w:t>
      </w:r>
      <w:r>
        <w:rPr>
          <w:lang w:val="en-GB" w:eastAsia="en-AU"/>
        </w:rPr>
        <w:t xml:space="preserve"> </w:t>
      </w:r>
      <w:r w:rsidRPr="00737C56">
        <w:rPr>
          <w:lang w:val="en-GB" w:eastAsia="en-AU"/>
        </w:rPr>
        <w:t>provided that these third party arrangements meet the requirements of the VET FEE-HELP scheme.</w:t>
      </w:r>
    </w:p>
    <w:p w14:paraId="634FCD0E" w14:textId="77777777" w:rsidR="00983AE6" w:rsidRPr="00736F23" w:rsidRDefault="00983AE6" w:rsidP="00983AE6">
      <w:r>
        <w:rPr>
          <w:lang w:val="en-GB" w:eastAsia="en-AU"/>
        </w:rPr>
        <w:t xml:space="preserve">However providers should note that for VET Student Loans, approved courses may only be delivered by the approved course provider, or for the approved course provider by: another approved course provider, a person or body registered by TEQSA, or a person or body approved in writing by the Secretary to deliver the course </w:t>
      </w:r>
      <w:r w:rsidRPr="003D690E">
        <w:rPr>
          <w:rStyle w:val="ReferenceChar"/>
        </w:rPr>
        <w:t>[Act s 15]</w:t>
      </w:r>
      <w:r w:rsidRPr="009B0AD6">
        <w:rPr>
          <w:rStyle w:val="ReferenceChar"/>
          <w:color w:val="000000" w:themeColor="text1"/>
        </w:rPr>
        <w:t>.</w:t>
      </w:r>
    </w:p>
    <w:p w14:paraId="077A727C" w14:textId="77777777" w:rsidR="00983AE6" w:rsidRPr="00736F23" w:rsidRDefault="00983AE6" w:rsidP="00983AE6">
      <w:r w:rsidRPr="00736F23">
        <w:t xml:space="preserve">Providers continuing with third party arrangements for grandfathered students in 2017 should have regard to </w:t>
      </w:r>
      <w:hyperlink w:anchor="_Provision_and_delivery" w:history="1">
        <w:r w:rsidRPr="00EB14CD">
          <w:rPr>
            <w:rStyle w:val="Hyperlink"/>
          </w:rPr>
          <w:t>section 4.6</w:t>
        </w:r>
      </w:hyperlink>
      <w:r w:rsidRPr="00EB14CD">
        <w:rPr>
          <w:rStyle w:val="Hyperlink"/>
        </w:rPr>
        <w:t xml:space="preserve"> </w:t>
      </w:r>
      <w:r w:rsidRPr="00736F23">
        <w:t>of this Manual.</w:t>
      </w:r>
    </w:p>
    <w:p w14:paraId="7F86B97D" w14:textId="77777777" w:rsidR="00983AE6" w:rsidRDefault="00983AE6" w:rsidP="00647AAD">
      <w:pPr>
        <w:rPr>
          <w:rStyle w:val="Strong"/>
        </w:rPr>
      </w:pPr>
      <w:bookmarkStart w:id="50" w:name="_Reporting_grandfathered_students"/>
      <w:bookmarkStart w:id="51" w:name="_2.7_Reporting_grandfathered"/>
      <w:bookmarkEnd w:id="50"/>
      <w:bookmarkEnd w:id="51"/>
      <w:r>
        <w:rPr>
          <w:rStyle w:val="Strong"/>
        </w:rPr>
        <w:br w:type="page"/>
      </w:r>
    </w:p>
    <w:p w14:paraId="6E86E452" w14:textId="77777777" w:rsidR="00983AE6" w:rsidRPr="00567789" w:rsidRDefault="00983AE6" w:rsidP="00983AE6">
      <w:pPr>
        <w:pStyle w:val="Heading1"/>
      </w:pPr>
      <w:bookmarkStart w:id="52" w:name="_3._Becoming_an"/>
      <w:bookmarkStart w:id="53" w:name="_Toc471374337"/>
      <w:bookmarkStart w:id="54" w:name="_Toc477960001"/>
      <w:bookmarkStart w:id="55" w:name="_Toc483222795"/>
      <w:bookmarkStart w:id="56" w:name="_Toc501621169"/>
      <w:bookmarkEnd w:id="52"/>
      <w:r w:rsidRPr="00567789">
        <w:lastRenderedPageBreak/>
        <w:t>3</w:t>
      </w:r>
      <w:r>
        <w:t>.</w:t>
      </w:r>
      <w:r w:rsidRPr="00567789">
        <w:t xml:space="preserve"> Becoming an approved course provider</w:t>
      </w:r>
      <w:bookmarkEnd w:id="53"/>
      <w:bookmarkEnd w:id="54"/>
      <w:bookmarkEnd w:id="55"/>
      <w:bookmarkEnd w:id="56"/>
    </w:p>
    <w:p w14:paraId="47F21DFE" w14:textId="77777777" w:rsidR="00983AE6" w:rsidRPr="00736F23" w:rsidRDefault="00983AE6" w:rsidP="00983AE6">
      <w:pPr>
        <w:rPr>
          <w:sz w:val="20"/>
        </w:rPr>
      </w:pPr>
      <w:r w:rsidRPr="00736F23">
        <w:t xml:space="preserve">Only providers that have been approved as an approved course provider can offer </w:t>
      </w:r>
      <w:r>
        <w:t>approved</w:t>
      </w:r>
      <w:r w:rsidRPr="00736F23">
        <w:t xml:space="preserve"> courses through VET Student Loans</w:t>
      </w:r>
      <w:r w:rsidRPr="00736F23">
        <w:rPr>
          <w:sz w:val="20"/>
        </w:rPr>
        <w:t xml:space="preserve"> </w:t>
      </w:r>
      <w:r w:rsidRPr="00567789">
        <w:rPr>
          <w:rStyle w:val="ReferenceChar"/>
        </w:rPr>
        <w:t>[Act s 15]</w:t>
      </w:r>
      <w:r w:rsidRPr="00EB14CD">
        <w:t>.</w:t>
      </w:r>
      <w:r w:rsidRPr="00736F23">
        <w:rPr>
          <w:sz w:val="20"/>
        </w:rPr>
        <w:t xml:space="preserve">  </w:t>
      </w:r>
    </w:p>
    <w:p w14:paraId="2E756B06" w14:textId="77777777" w:rsidR="00983AE6" w:rsidRPr="00736F23" w:rsidRDefault="00983AE6" w:rsidP="00983AE6">
      <w:r w:rsidRPr="00736F23">
        <w:t>To become an approved</w:t>
      </w:r>
      <w:r>
        <w:t xml:space="preserve"> course</w:t>
      </w:r>
      <w:r w:rsidRPr="00736F23">
        <w:t xml:space="preserve"> provider, a body needs to:</w:t>
      </w:r>
    </w:p>
    <w:p w14:paraId="69977F2C" w14:textId="77777777" w:rsidR="00983AE6" w:rsidRPr="00736F23" w:rsidRDefault="00983AE6" w:rsidP="00983AE6">
      <w:pPr>
        <w:pStyle w:val="ListBullet"/>
        <w:rPr>
          <w:noProof/>
        </w:rPr>
      </w:pPr>
      <w:r w:rsidRPr="00736F23">
        <w:rPr>
          <w:noProof/>
        </w:rPr>
        <w:t xml:space="preserve">apply in the approved form </w:t>
      </w:r>
      <w:r w:rsidRPr="00567789">
        <w:rPr>
          <w:rStyle w:val="ReferenceChar"/>
        </w:rPr>
        <w:t>[Act s 28]</w:t>
      </w:r>
    </w:p>
    <w:p w14:paraId="73F6AB73" w14:textId="04F1E603" w:rsidR="00983AE6" w:rsidRPr="00736F23" w:rsidRDefault="00983AE6" w:rsidP="00983AE6">
      <w:pPr>
        <w:pStyle w:val="ListBullet"/>
        <w:rPr>
          <w:noProof/>
        </w:rPr>
      </w:pPr>
      <w:r w:rsidRPr="00736F23">
        <w:rPr>
          <w:noProof/>
        </w:rPr>
        <w:t xml:space="preserve">pay the </w:t>
      </w:r>
      <w:hyperlink w:anchor="_3.1_Application_fee" w:history="1">
        <w:r w:rsidRPr="00977020">
          <w:rPr>
            <w:rStyle w:val="Hyperlink"/>
            <w:noProof/>
          </w:rPr>
          <w:t>application fee</w:t>
        </w:r>
      </w:hyperlink>
      <w:r w:rsidRPr="00736F23">
        <w:rPr>
          <w:noProof/>
        </w:rPr>
        <w:t xml:space="preserve"> </w:t>
      </w:r>
      <w:r w:rsidRPr="00567789">
        <w:rPr>
          <w:rStyle w:val="ReferenceChar"/>
        </w:rPr>
        <w:t>[Act s 28]</w:t>
      </w:r>
    </w:p>
    <w:p w14:paraId="591C4D44" w14:textId="77777777" w:rsidR="00983AE6" w:rsidRPr="00736F23" w:rsidRDefault="00983AE6" w:rsidP="00983AE6">
      <w:pPr>
        <w:pStyle w:val="ListBullet"/>
        <w:rPr>
          <w:noProof/>
        </w:rPr>
      </w:pPr>
      <w:r>
        <w:rPr>
          <w:noProof/>
        </w:rPr>
        <w:t xml:space="preserve">satisfy the Secretary that they </w:t>
      </w:r>
      <w:r w:rsidRPr="00736F23">
        <w:rPr>
          <w:noProof/>
        </w:rPr>
        <w:t xml:space="preserve">meet the course provider requirements </w:t>
      </w:r>
      <w:r w:rsidRPr="00567789">
        <w:rPr>
          <w:rStyle w:val="ReferenceChar"/>
        </w:rPr>
        <w:t xml:space="preserve">[Act s 25] </w:t>
      </w:r>
      <w:r w:rsidRPr="00736F23">
        <w:rPr>
          <w:noProof/>
        </w:rPr>
        <w:t>and</w:t>
      </w:r>
    </w:p>
    <w:p w14:paraId="2DCD1886" w14:textId="77777777" w:rsidR="00983AE6" w:rsidRPr="00736F23" w:rsidRDefault="00983AE6" w:rsidP="00983AE6">
      <w:pPr>
        <w:pStyle w:val="ListBullet"/>
      </w:pPr>
      <w:r w:rsidRPr="00736F23">
        <w:rPr>
          <w:noProof/>
        </w:rPr>
        <w:t>provide</w:t>
      </w:r>
      <w:r w:rsidRPr="00736F23">
        <w:t xml:space="preserve"> any further information requested.</w:t>
      </w:r>
    </w:p>
    <w:p w14:paraId="303298F5" w14:textId="5D72AC17" w:rsidR="00983AE6" w:rsidRPr="00736F23" w:rsidRDefault="00983AE6" w:rsidP="0023520E">
      <w:pPr>
        <w:pStyle w:val="Bullet1"/>
        <w:numPr>
          <w:ilvl w:val="0"/>
          <w:numId w:val="0"/>
        </w:numPr>
        <w:spacing w:before="0" w:after="120"/>
        <w:rPr>
          <w:rFonts w:asciiTheme="minorHAnsi" w:hAnsiTheme="minorHAnsi" w:cstheme="minorHAnsi"/>
        </w:rPr>
      </w:pPr>
      <w:r w:rsidRPr="00736F23">
        <w:rPr>
          <w:rFonts w:asciiTheme="minorHAnsi" w:hAnsiTheme="minorHAnsi" w:cstheme="minorHAnsi"/>
        </w:rPr>
        <w:t xml:space="preserve">Importantly, once a body has been approved, it will be required to continue to meet the </w:t>
      </w:r>
      <w:r>
        <w:rPr>
          <w:rFonts w:asciiTheme="minorHAnsi" w:hAnsiTheme="minorHAnsi" w:cstheme="minorHAnsi"/>
        </w:rPr>
        <w:t xml:space="preserve">course </w:t>
      </w:r>
      <w:r w:rsidRPr="00736F23">
        <w:rPr>
          <w:rFonts w:asciiTheme="minorHAnsi" w:hAnsiTheme="minorHAnsi" w:cstheme="minorHAnsi"/>
        </w:rPr>
        <w:t>provider requirements</w:t>
      </w:r>
      <w:r>
        <w:rPr>
          <w:rFonts w:asciiTheme="minorHAnsi" w:hAnsiTheme="minorHAnsi" w:cstheme="minorHAnsi"/>
        </w:rPr>
        <w:t xml:space="preserve"> to maintain its approval</w:t>
      </w:r>
      <w:r w:rsidRPr="00736F23">
        <w:rPr>
          <w:rFonts w:asciiTheme="minorHAnsi" w:hAnsiTheme="minorHAnsi" w:cstheme="minorHAnsi"/>
          <w:sz w:val="20"/>
        </w:rPr>
        <w:t xml:space="preserve"> </w:t>
      </w:r>
      <w:r w:rsidRPr="00567789">
        <w:rPr>
          <w:rStyle w:val="ReferenceChar"/>
        </w:rPr>
        <w:t>[Act s 47(2)]</w:t>
      </w:r>
      <w:r w:rsidRPr="00EB14CD">
        <w:t>.</w:t>
      </w:r>
      <w:r w:rsidRPr="00736F23">
        <w:rPr>
          <w:rFonts w:asciiTheme="minorHAnsi" w:hAnsiTheme="minorHAnsi" w:cstheme="minorHAnsi"/>
          <w:sz w:val="20"/>
        </w:rPr>
        <w:t xml:space="preserve"> </w:t>
      </w:r>
      <w:r w:rsidRPr="00736F23">
        <w:rPr>
          <w:rFonts w:asciiTheme="minorHAnsi" w:hAnsiTheme="minorHAnsi" w:cstheme="minorHAnsi"/>
        </w:rPr>
        <w:t>These are</w:t>
      </w:r>
      <w:r>
        <w:rPr>
          <w:rFonts w:asciiTheme="minorHAnsi" w:hAnsiTheme="minorHAnsi" w:cstheme="minorHAnsi"/>
        </w:rPr>
        <w:t xml:space="preserve"> </w:t>
      </w:r>
      <w:r w:rsidR="00327304">
        <w:rPr>
          <w:rFonts w:asciiTheme="minorHAnsi" w:hAnsiTheme="minorHAnsi" w:cstheme="minorHAnsi"/>
        </w:rPr>
        <w:t>explained below at</w:t>
      </w:r>
      <w:r>
        <w:rPr>
          <w:rFonts w:asciiTheme="minorHAnsi" w:hAnsiTheme="minorHAnsi" w:cstheme="minorHAnsi"/>
        </w:rPr>
        <w:t xml:space="preserve"> </w:t>
      </w:r>
      <w:hyperlink w:anchor="_4.1.6__" w:history="1">
        <w:r w:rsidRPr="00684FA7">
          <w:rPr>
            <w:rStyle w:val="Hyperlink"/>
          </w:rPr>
          <w:t>section 4.2</w:t>
        </w:r>
      </w:hyperlink>
      <w:r w:rsidRPr="00736F23">
        <w:rPr>
          <w:rFonts w:asciiTheme="minorHAnsi" w:hAnsiTheme="minorHAnsi" w:cstheme="minorHAnsi"/>
        </w:rPr>
        <w:t>.</w:t>
      </w:r>
    </w:p>
    <w:p w14:paraId="2022C566" w14:textId="77777777" w:rsidR="00983AE6" w:rsidRPr="00736F23" w:rsidRDefault="00983AE6" w:rsidP="0023520E">
      <w:pPr>
        <w:pStyle w:val="BodyIndent1"/>
        <w:spacing w:before="0"/>
        <w:ind w:left="0"/>
        <w:rPr>
          <w:rFonts w:asciiTheme="minorHAnsi" w:hAnsiTheme="minorHAnsi" w:cstheme="minorHAnsi"/>
        </w:rPr>
      </w:pPr>
      <w:r w:rsidRPr="00736F23">
        <w:rPr>
          <w:rFonts w:asciiTheme="minorHAnsi" w:hAnsiTheme="minorHAnsi" w:cstheme="minorHAnsi"/>
        </w:rPr>
        <w:t>The length of time that a body is approved will be set out in its approval documentation; however, the period of approval will not be more than 7 years</w:t>
      </w:r>
      <w:r w:rsidRPr="00736F23">
        <w:rPr>
          <w:rFonts w:asciiTheme="minorHAnsi" w:hAnsiTheme="minorHAnsi" w:cstheme="minorHAnsi"/>
          <w:sz w:val="20"/>
        </w:rPr>
        <w:t xml:space="preserve"> </w:t>
      </w:r>
      <w:r w:rsidRPr="00567789">
        <w:rPr>
          <w:rStyle w:val="ReferenceChar"/>
        </w:rPr>
        <w:t>[Act s 29]</w:t>
      </w:r>
      <w:r w:rsidRPr="00EB14CD">
        <w:t>.</w:t>
      </w:r>
      <w:r w:rsidRPr="00736F23">
        <w:rPr>
          <w:rFonts w:asciiTheme="minorHAnsi" w:hAnsiTheme="minorHAnsi" w:cstheme="minorHAnsi"/>
        </w:rPr>
        <w:t xml:space="preserve"> This aligns with the maximum length of registration as a registered training organisation.</w:t>
      </w:r>
    </w:p>
    <w:p w14:paraId="70FB9E16" w14:textId="4F11C1E7" w:rsidR="00306F87" w:rsidRDefault="00983AE6" w:rsidP="00306F87">
      <w:pPr>
        <w:pStyle w:val="BodyIndent1"/>
        <w:spacing w:before="0"/>
        <w:ind w:left="0"/>
        <w:rPr>
          <w:rFonts w:asciiTheme="minorHAnsi" w:hAnsiTheme="minorHAnsi" w:cstheme="minorHAnsi"/>
        </w:rPr>
      </w:pPr>
      <w:r w:rsidRPr="007C6B98">
        <w:rPr>
          <w:rFonts w:asciiTheme="minorHAnsi" w:hAnsiTheme="minorHAnsi" w:cstheme="minorHAnsi"/>
        </w:rPr>
        <w:t xml:space="preserve">Applications for approval will only be considered during application rounds. It is anticipated this will occur annually each calendar year. </w:t>
      </w:r>
      <w:r w:rsidR="00306F87" w:rsidRPr="00306F87">
        <w:rPr>
          <w:rFonts w:asciiTheme="minorHAnsi" w:hAnsiTheme="minorHAnsi" w:cstheme="minorHAnsi"/>
        </w:rPr>
        <w:t>Information about how to appl</w:t>
      </w:r>
      <w:r w:rsidR="00306F87">
        <w:rPr>
          <w:rFonts w:asciiTheme="minorHAnsi" w:hAnsiTheme="minorHAnsi" w:cstheme="minorHAnsi"/>
        </w:rPr>
        <w:t>y to become a VET Student Loans</w:t>
      </w:r>
      <w:r w:rsidR="00306F87" w:rsidRPr="00306F87">
        <w:rPr>
          <w:rFonts w:asciiTheme="minorHAnsi" w:hAnsiTheme="minorHAnsi" w:cstheme="minorHAnsi"/>
        </w:rPr>
        <w:t xml:space="preserve"> Approved Course Provider</w:t>
      </w:r>
      <w:r w:rsidR="00306F87">
        <w:rPr>
          <w:rFonts w:asciiTheme="minorHAnsi" w:hAnsiTheme="minorHAnsi" w:cstheme="minorHAnsi"/>
        </w:rPr>
        <w:t xml:space="preserve"> </w:t>
      </w:r>
      <w:r w:rsidR="00306F87" w:rsidRPr="00306F87">
        <w:rPr>
          <w:rFonts w:asciiTheme="minorHAnsi" w:hAnsiTheme="minorHAnsi" w:cstheme="minorHAnsi"/>
        </w:rPr>
        <w:t xml:space="preserve">is available at </w:t>
      </w:r>
      <w:hyperlink r:id="rId36" w:history="1">
        <w:r w:rsidR="00306F87" w:rsidRPr="002547C0">
          <w:rPr>
            <w:rStyle w:val="Hyperlink"/>
            <w:rFonts w:cstheme="minorHAnsi"/>
          </w:rPr>
          <w:t>www.education.gov.au/vet-student-loans</w:t>
        </w:r>
      </w:hyperlink>
      <w:r w:rsidR="00306F87" w:rsidRPr="00306F87">
        <w:rPr>
          <w:rFonts w:asciiTheme="minorHAnsi" w:hAnsiTheme="minorHAnsi" w:cstheme="minorHAnsi"/>
        </w:rPr>
        <w:t>.</w:t>
      </w:r>
    </w:p>
    <w:p w14:paraId="1FA40A0A" w14:textId="77777777" w:rsidR="00490212" w:rsidRPr="0028499D" w:rsidRDefault="00490212" w:rsidP="009206B4">
      <w:pPr>
        <w:pStyle w:val="Heading5"/>
      </w:pPr>
      <w:r w:rsidRPr="0028499D">
        <w:t>Listing of approved VET Student Loans course providers and approved courses</w:t>
      </w:r>
    </w:p>
    <w:p w14:paraId="7321F57A" w14:textId="57404FEB" w:rsidR="00490212" w:rsidRPr="00490212" w:rsidRDefault="00490212" w:rsidP="0028499D">
      <w:pPr>
        <w:pStyle w:val="BodyIndent1"/>
        <w:spacing w:before="0"/>
        <w:ind w:left="0"/>
        <w:rPr>
          <w:rFonts w:asciiTheme="minorHAnsi" w:hAnsiTheme="minorHAnsi" w:cstheme="minorHAnsi"/>
        </w:rPr>
      </w:pPr>
      <w:r w:rsidRPr="00490212">
        <w:rPr>
          <w:rFonts w:asciiTheme="minorHAnsi" w:hAnsiTheme="minorHAnsi" w:cstheme="minorHAnsi"/>
        </w:rPr>
        <w:t xml:space="preserve">The department publishes a list of approved VET Student Loans course providers and the period of approval. The list is updated as new providers are added. The list is published at </w:t>
      </w:r>
      <w:hyperlink r:id="rId37" w:history="1">
        <w:r w:rsidR="00D55885" w:rsidRPr="00515E2C">
          <w:rPr>
            <w:rStyle w:val="Hyperlink"/>
            <w:rFonts w:cstheme="minorHAnsi"/>
          </w:rPr>
          <w:t>www.education.gov.au/vet-student-loans</w:t>
        </w:r>
      </w:hyperlink>
      <w:r w:rsidRPr="00490212">
        <w:rPr>
          <w:rFonts w:asciiTheme="minorHAnsi" w:hAnsiTheme="minorHAnsi" w:cstheme="minorHAnsi"/>
        </w:rPr>
        <w:t>.</w:t>
      </w:r>
    </w:p>
    <w:p w14:paraId="71A55C03" w14:textId="4499F4A6" w:rsidR="00AB4740" w:rsidRPr="00AE77BF" w:rsidRDefault="00A04573" w:rsidP="00AB4740">
      <w:pPr>
        <w:pStyle w:val="Heading2"/>
        <w:rPr>
          <w:rFonts w:eastAsia="Times New Roman"/>
        </w:rPr>
      </w:pPr>
      <w:bookmarkStart w:id="57" w:name="_3.1_Application_fee"/>
      <w:bookmarkStart w:id="58" w:name="_Toc501621170"/>
      <w:bookmarkEnd w:id="57"/>
      <w:r w:rsidRPr="00AE77BF">
        <w:rPr>
          <w:rFonts w:eastAsia="Times New Roman"/>
        </w:rPr>
        <w:t>3.1</w:t>
      </w:r>
      <w:r>
        <w:rPr>
          <w:rFonts w:eastAsia="Times New Roman"/>
        </w:rPr>
        <w:t xml:space="preserve"> </w:t>
      </w:r>
      <w:r w:rsidRPr="00AE77BF">
        <w:rPr>
          <w:rFonts w:eastAsia="Times New Roman"/>
        </w:rPr>
        <w:t>Application</w:t>
      </w:r>
      <w:r w:rsidR="00AB4740" w:rsidRPr="00AE77BF">
        <w:rPr>
          <w:rFonts w:eastAsia="Times New Roman"/>
        </w:rPr>
        <w:t xml:space="preserve"> fee</w:t>
      </w:r>
      <w:bookmarkEnd w:id="58"/>
    </w:p>
    <w:p w14:paraId="6FC7C909" w14:textId="77777777" w:rsidR="00CA5023" w:rsidRDefault="00CA5023" w:rsidP="00CA5023">
      <w:pPr>
        <w:pStyle w:val="BodyIndent1"/>
        <w:spacing w:before="0"/>
        <w:ind w:left="0"/>
      </w:pPr>
      <w:r w:rsidRPr="00E12D94">
        <w:t>All registered training organisations may apply to become an approved VET Student Loans provider, with an accompanying application fee. The collection of an application fee assists with the recovery of the costs associated with processing and assessing applications</w:t>
      </w:r>
      <w:r>
        <w:t>.</w:t>
      </w:r>
    </w:p>
    <w:p w14:paraId="5E78587A" w14:textId="18D9B4FB" w:rsidR="00CA5023" w:rsidRDefault="00CA5023" w:rsidP="00CA5023">
      <w:r>
        <w:t xml:space="preserve">The application fee is </w:t>
      </w:r>
      <w:r w:rsidR="00C81102">
        <w:t>required to be paid each time a provider</w:t>
      </w:r>
      <w:r>
        <w:t xml:space="preserve"> </w:t>
      </w:r>
      <w:r w:rsidR="00C81102">
        <w:t>submits an application for approval as an approved course provider under</w:t>
      </w:r>
      <w:r>
        <w:t xml:space="preserve"> the VET Student Loans program.</w:t>
      </w:r>
      <w:r w:rsidR="00C81102">
        <w:t xml:space="preserve"> The application fee is not refundable if an applicant is not approved. A provider will need to pay the application fee again if it reapplies for approval.</w:t>
      </w:r>
      <w:r>
        <w:t xml:space="preserve"> </w:t>
      </w:r>
    </w:p>
    <w:p w14:paraId="49E7240D" w14:textId="036051E0" w:rsidR="00CA5023" w:rsidRDefault="00CA5023" w:rsidP="00CA5023">
      <w:r>
        <w:t xml:space="preserve">The </w:t>
      </w:r>
      <w:r w:rsidR="00D55885">
        <w:t xml:space="preserve">application </w:t>
      </w:r>
      <w:r>
        <w:t xml:space="preserve">fee amount per provider is $5,110. </w:t>
      </w:r>
    </w:p>
    <w:p w14:paraId="435ED77F" w14:textId="77777777" w:rsidR="00CA5023" w:rsidRDefault="00CA5023" w:rsidP="00CA5023">
      <w:r w:rsidRPr="00E12D94">
        <w:t>The Secretary is not required to accept an application if it is not in an approved form. If the Secretary does not accept an application, the application fee must be refunded</w:t>
      </w:r>
      <w:r>
        <w:t>.</w:t>
      </w:r>
    </w:p>
    <w:p w14:paraId="287DF5A2" w14:textId="77777777" w:rsidR="00CA5023" w:rsidRDefault="00CA5023" w:rsidP="00CA5023">
      <w:r>
        <w:t xml:space="preserve">Further details on the methodology for determining the application fee is available in the Cost Recovery Implementation Statement, found at </w:t>
      </w:r>
      <w:hyperlink r:id="rId38" w:history="1">
        <w:r w:rsidRPr="00780332">
          <w:rPr>
            <w:rStyle w:val="Hyperlink"/>
          </w:rPr>
          <w:t>www.education.gov.au/vet-student-loans</w:t>
        </w:r>
      </w:hyperlink>
      <w:r w:rsidR="00A4082D" w:rsidRPr="0028499D">
        <w:rPr>
          <w:rStyle w:val="Hyperlink"/>
          <w:b w:val="0"/>
        </w:rPr>
        <w:t>.</w:t>
      </w:r>
    </w:p>
    <w:p w14:paraId="0345212C" w14:textId="0DDB0D0B" w:rsidR="00990C7C" w:rsidRPr="00AE77BF" w:rsidRDefault="00A04573" w:rsidP="00AE77BF">
      <w:pPr>
        <w:pStyle w:val="Heading2"/>
        <w:rPr>
          <w:rFonts w:eastAsia="Times New Roman"/>
        </w:rPr>
      </w:pPr>
      <w:bookmarkStart w:id="59" w:name="_3.2_Annual_charge"/>
      <w:bookmarkStart w:id="60" w:name="_Toc501621171"/>
      <w:bookmarkEnd w:id="59"/>
      <w:r w:rsidRPr="00AE77BF">
        <w:rPr>
          <w:rFonts w:eastAsia="Times New Roman"/>
        </w:rPr>
        <w:t xml:space="preserve">3.2 </w:t>
      </w:r>
      <w:r>
        <w:rPr>
          <w:rFonts w:eastAsia="Times New Roman"/>
        </w:rPr>
        <w:t>Annual</w:t>
      </w:r>
      <w:r w:rsidR="00990C7C" w:rsidRPr="00AE77BF">
        <w:rPr>
          <w:rFonts w:eastAsia="Times New Roman"/>
        </w:rPr>
        <w:t xml:space="preserve"> charge</w:t>
      </w:r>
      <w:bookmarkEnd w:id="60"/>
    </w:p>
    <w:p w14:paraId="0E1635E2" w14:textId="77777777" w:rsidR="00CA5023" w:rsidRDefault="00990C7C" w:rsidP="00CA5023">
      <w:r>
        <w:rPr>
          <w:rFonts w:cstheme="minorHAnsi"/>
        </w:rPr>
        <w:t xml:space="preserve">Approved </w:t>
      </w:r>
      <w:r w:rsidR="00CA5023">
        <w:rPr>
          <w:rFonts w:cstheme="minorHAnsi"/>
        </w:rPr>
        <w:t xml:space="preserve">providers </w:t>
      </w:r>
      <w:r w:rsidR="00CA5023" w:rsidRPr="00736F23">
        <w:rPr>
          <w:rFonts w:cstheme="minorHAnsi"/>
        </w:rPr>
        <w:t xml:space="preserve">will </w:t>
      </w:r>
      <w:r w:rsidR="00CA5023">
        <w:rPr>
          <w:rFonts w:cstheme="minorHAnsi"/>
        </w:rPr>
        <w:t xml:space="preserve">be required to </w:t>
      </w:r>
      <w:r w:rsidR="00CA5023" w:rsidRPr="00736F23">
        <w:rPr>
          <w:rFonts w:cstheme="minorHAnsi"/>
        </w:rPr>
        <w:t xml:space="preserve">pay an annual charge. </w:t>
      </w:r>
      <w:r w:rsidR="00CA5023">
        <w:rPr>
          <w:rFonts w:cstheme="minorHAnsi"/>
        </w:rPr>
        <w:t xml:space="preserve">The charge partially recovers costs associated with administering the program, such as compliance and auditing costs, payments, processing and actioning complaints, and provider and student management. </w:t>
      </w:r>
    </w:p>
    <w:p w14:paraId="051DC89E" w14:textId="77777777" w:rsidR="00CA5023" w:rsidRDefault="00CA5023" w:rsidP="00CA5023">
      <w:r>
        <w:t xml:space="preserve">The amount payable for a financial year depends on the size of the provider, determined by the summation of all verified student enrolments as reported by that provider for payment purposes. </w:t>
      </w:r>
    </w:p>
    <w:p w14:paraId="440D49F5" w14:textId="31960C11" w:rsidR="00CA5023" w:rsidRDefault="00CA5023" w:rsidP="00CA5023">
      <w:r>
        <w:lastRenderedPageBreak/>
        <w:t xml:space="preserve">The size categories and final annual charge rates per provider for the 2017-18 financial year are set out in the </w:t>
      </w:r>
      <w:r>
        <w:rPr>
          <w:i/>
          <w:iCs/>
        </w:rPr>
        <w:t>VET Student Loans (Charges) Regulations 2017</w:t>
      </w:r>
      <w:r>
        <w:t xml:space="preserve">, available at </w:t>
      </w:r>
      <w:hyperlink r:id="rId39" w:history="1">
        <w:r w:rsidRPr="0050568E">
          <w:rPr>
            <w:rStyle w:val="Hyperlink"/>
          </w:rPr>
          <w:t>www.legislation.gov.au/Series/F2017L00821</w:t>
        </w:r>
      </w:hyperlink>
      <w:r w:rsidRPr="0028499D">
        <w:t>.</w:t>
      </w:r>
      <w:r w:rsidR="00C81102">
        <w:t xml:space="preserve"> The department anticipates it will invoice providers for the 2017-2018 financial year in or around September 2018.</w:t>
      </w:r>
      <w:r>
        <w:t>For the 2017-18 financial year:</w:t>
      </w:r>
    </w:p>
    <w:p w14:paraId="4CDB0FB3" w14:textId="77777777" w:rsidR="00CA5023" w:rsidRDefault="00CA5023" w:rsidP="00A0727A">
      <w:pPr>
        <w:numPr>
          <w:ilvl w:val="0"/>
          <w:numId w:val="58"/>
        </w:numPr>
        <w:spacing w:after="0"/>
        <w:rPr>
          <w:rFonts w:eastAsia="Times New Roman"/>
        </w:rPr>
      </w:pPr>
      <w:r>
        <w:rPr>
          <w:rFonts w:eastAsia="Times New Roman"/>
        </w:rPr>
        <w:t xml:space="preserve">providers with fewer than </w:t>
      </w:r>
      <w:r>
        <w:rPr>
          <w:rFonts w:eastAsia="Times New Roman"/>
          <w:b/>
          <w:bCs/>
        </w:rPr>
        <w:t>200 student enrolments</w:t>
      </w:r>
      <w:r>
        <w:rPr>
          <w:rFonts w:eastAsia="Times New Roman"/>
        </w:rPr>
        <w:t xml:space="preserve"> are charged the </w:t>
      </w:r>
      <w:r>
        <w:rPr>
          <w:rFonts w:eastAsia="Times New Roman"/>
          <w:u w:val="single"/>
        </w:rPr>
        <w:t>small provider</w:t>
      </w:r>
      <w:r>
        <w:rPr>
          <w:rFonts w:eastAsia="Times New Roman"/>
        </w:rPr>
        <w:t xml:space="preserve"> annual charge rate ($1,280)</w:t>
      </w:r>
    </w:p>
    <w:p w14:paraId="0AF61BC0" w14:textId="77777777" w:rsidR="00CA5023" w:rsidRDefault="00CA5023" w:rsidP="00A0727A">
      <w:pPr>
        <w:numPr>
          <w:ilvl w:val="0"/>
          <w:numId w:val="58"/>
        </w:numPr>
        <w:spacing w:after="0"/>
        <w:rPr>
          <w:rFonts w:eastAsia="Times New Roman"/>
        </w:rPr>
      </w:pPr>
      <w:r>
        <w:rPr>
          <w:rFonts w:eastAsia="Times New Roman"/>
        </w:rPr>
        <w:t xml:space="preserve">providers with at least </w:t>
      </w:r>
      <w:r>
        <w:rPr>
          <w:rFonts w:eastAsia="Times New Roman"/>
          <w:b/>
          <w:bCs/>
        </w:rPr>
        <w:t>200 but up to and including 1,000 student enrolments</w:t>
      </w:r>
      <w:r>
        <w:rPr>
          <w:rFonts w:eastAsia="Times New Roman"/>
        </w:rPr>
        <w:t xml:space="preserve"> are charged the </w:t>
      </w:r>
      <w:r>
        <w:rPr>
          <w:rFonts w:eastAsia="Times New Roman"/>
          <w:u w:val="single"/>
        </w:rPr>
        <w:t>medium provider</w:t>
      </w:r>
      <w:r>
        <w:rPr>
          <w:rFonts w:eastAsia="Times New Roman"/>
        </w:rPr>
        <w:t xml:space="preserve"> annual charge rate ($12,480) </w:t>
      </w:r>
    </w:p>
    <w:p w14:paraId="1E934070" w14:textId="77777777" w:rsidR="00CA5023" w:rsidRDefault="00CA5023" w:rsidP="00A0727A">
      <w:pPr>
        <w:numPr>
          <w:ilvl w:val="0"/>
          <w:numId w:val="58"/>
        </w:numPr>
        <w:spacing w:after="120"/>
        <w:ind w:left="714" w:hanging="357"/>
        <w:rPr>
          <w:rFonts w:eastAsia="Times New Roman"/>
        </w:rPr>
      </w:pPr>
      <w:r>
        <w:rPr>
          <w:rFonts w:eastAsia="Times New Roman"/>
        </w:rPr>
        <w:t xml:space="preserve">providers with more than </w:t>
      </w:r>
      <w:r>
        <w:rPr>
          <w:rFonts w:eastAsia="Times New Roman"/>
          <w:b/>
          <w:bCs/>
        </w:rPr>
        <w:t>1,000 student enrolments</w:t>
      </w:r>
      <w:r>
        <w:rPr>
          <w:rFonts w:eastAsia="Times New Roman"/>
        </w:rPr>
        <w:t xml:space="preserve"> are charged the </w:t>
      </w:r>
      <w:r>
        <w:rPr>
          <w:rFonts w:eastAsia="Times New Roman"/>
          <w:u w:val="single"/>
        </w:rPr>
        <w:t>large provider</w:t>
      </w:r>
      <w:r>
        <w:rPr>
          <w:rFonts w:eastAsia="Times New Roman"/>
        </w:rPr>
        <w:t xml:space="preserve"> annual charge rate ($62,870).</w:t>
      </w:r>
    </w:p>
    <w:p w14:paraId="121BB832" w14:textId="77777777" w:rsidR="00CA5023" w:rsidRDefault="00CA5023" w:rsidP="00CA5023">
      <w:r>
        <w:t xml:space="preserve">Providers will have 30 days from the date of issue to pay the charge, after which a late payment penalty may apply. </w:t>
      </w:r>
    </w:p>
    <w:p w14:paraId="4C760FC9" w14:textId="77777777" w:rsidR="00CA5023" w:rsidRPr="00D62270" w:rsidRDefault="00CA5023" w:rsidP="00CA5023">
      <w:r>
        <w:t xml:space="preserve">Further details on the methodology for determining the annual charge is available in the Cost Recovery Implementation Statement at </w:t>
      </w:r>
      <w:hyperlink r:id="rId40" w:history="1">
        <w:r w:rsidRPr="00E90172">
          <w:rPr>
            <w:rStyle w:val="Hyperlink"/>
          </w:rPr>
          <w:t>www.education.gov.au/vet-student-loans</w:t>
        </w:r>
      </w:hyperlink>
      <w:r>
        <w:t>.</w:t>
      </w:r>
      <w:r w:rsidRPr="00D62270">
        <w:t xml:space="preserve"> </w:t>
      </w:r>
    </w:p>
    <w:p w14:paraId="68485FA5" w14:textId="612C8157" w:rsidR="00983AE6" w:rsidRPr="00466B9C" w:rsidRDefault="00983AE6" w:rsidP="00466B9C">
      <w:pPr>
        <w:pStyle w:val="BodyIndent1"/>
        <w:spacing w:before="0"/>
        <w:ind w:left="0"/>
        <w:rPr>
          <w:rFonts w:asciiTheme="minorHAnsi" w:hAnsiTheme="minorHAnsi" w:cstheme="minorHAnsi"/>
        </w:rPr>
      </w:pPr>
      <w:bookmarkStart w:id="61" w:name="_Toc471374338"/>
      <w:bookmarkStart w:id="62" w:name="_Toc477960003"/>
      <w:bookmarkStart w:id="63" w:name="_Toc483222796"/>
      <w:r>
        <w:rPr>
          <w:rFonts w:asciiTheme="minorHAnsi" w:hAnsiTheme="minorHAnsi" w:cstheme="minorHAnsi"/>
          <w:color w:val="FFFFFF" w:themeColor="background1"/>
        </w:rPr>
        <w:br w:type="page"/>
      </w:r>
    </w:p>
    <w:p w14:paraId="3B8A1DAD" w14:textId="77777777" w:rsidR="00983AE6" w:rsidRPr="00D62270" w:rsidRDefault="00983AE6" w:rsidP="00983AE6">
      <w:pPr>
        <w:pStyle w:val="Heading1"/>
      </w:pPr>
      <w:bookmarkStart w:id="64" w:name="_Toc501621172"/>
      <w:r w:rsidRPr="00D62270">
        <w:lastRenderedPageBreak/>
        <w:t>4. Provider obligations</w:t>
      </w:r>
      <w:bookmarkEnd w:id="61"/>
      <w:bookmarkEnd w:id="62"/>
      <w:bookmarkEnd w:id="63"/>
      <w:bookmarkEnd w:id="64"/>
    </w:p>
    <w:p w14:paraId="3CA13C6E" w14:textId="77777777" w:rsidR="00570B11" w:rsidRDefault="00570B11" w:rsidP="00570B11">
      <w:r w:rsidRPr="00D62270">
        <w:t>VET Student Loans includes a range of measures to protect students and taxpayers and restore integrity to, and the reputation of, Australia’s high quality vocational education and training sector. To</w:t>
      </w:r>
      <w:r>
        <w:t> </w:t>
      </w:r>
      <w:r w:rsidRPr="00D62270">
        <w:t>this end, approved course providers must comply with certain legislative obligations. The Act and the Rules set out these obligations and consequences for failing to meet those obligations. Providers should familiarise themselves with these obligations. One of the consequences includes that a provider may be liable to civil penalties or criminal prosecution for breaches to these obligations.</w:t>
      </w:r>
      <w:r>
        <w:t xml:space="preserve"> T</w:t>
      </w:r>
      <w:r w:rsidRPr="00D62270">
        <w:t xml:space="preserve">his section should be read in conjunction with </w:t>
      </w:r>
      <w:hyperlink w:anchor="_Civil_penalties" w:history="1">
        <w:r w:rsidRPr="00D62270">
          <w:rPr>
            <w:rStyle w:val="Hyperlink"/>
          </w:rPr>
          <w:t>section 4.1.4 - Civil penalties</w:t>
        </w:r>
      </w:hyperlink>
      <w:r w:rsidRPr="00D62270">
        <w:t xml:space="preserve"> and </w:t>
      </w:r>
      <w:hyperlink w:anchor="_Appendix_A_–" w:history="1">
        <w:r w:rsidRPr="00D62270">
          <w:rPr>
            <w:rStyle w:val="Hyperlink"/>
          </w:rPr>
          <w:t>Appendix A – Civil penalties and criminal offences</w:t>
        </w:r>
      </w:hyperlink>
      <w:r w:rsidRPr="00D62270">
        <w:t>.</w:t>
      </w:r>
    </w:p>
    <w:p w14:paraId="109825D9" w14:textId="77777777" w:rsidR="00983AE6" w:rsidRDefault="00983AE6" w:rsidP="00983AE6">
      <w:pPr>
        <w:pStyle w:val="Strongcolor"/>
      </w:pPr>
      <w:r w:rsidRPr="00CA2F52">
        <w:t xml:space="preserve">Chapter 4 Summary </w:t>
      </w:r>
    </w:p>
    <w:p w14:paraId="37F0C029" w14:textId="77777777" w:rsidR="00647AAD" w:rsidRPr="00647AAD" w:rsidRDefault="00647AAD" w:rsidP="00647AAD">
      <w:pPr>
        <w:pStyle w:val="Strongcolor"/>
        <w:tabs>
          <w:tab w:val="left" w:pos="567"/>
          <w:tab w:val="left" w:pos="4820"/>
        </w:tabs>
        <w:spacing w:after="0" w:line="360" w:lineRule="auto"/>
        <w:rPr>
          <w:rStyle w:val="Hyperlink"/>
          <w:b/>
        </w:rPr>
      </w:pPr>
      <w:r>
        <w:tab/>
      </w:r>
      <w:hyperlink w:anchor="_Compliance" w:history="1">
        <w:r w:rsidRPr="00647AAD">
          <w:rPr>
            <w:rStyle w:val="Hyperlink"/>
            <w:b/>
          </w:rPr>
          <w:t>Compliance</w:t>
        </w:r>
      </w:hyperlink>
      <w:r w:rsidRPr="00647AAD">
        <w:rPr>
          <w:rStyle w:val="Hyperlink"/>
          <w:b/>
        </w:rPr>
        <w:tab/>
      </w:r>
      <w:hyperlink w:anchor="_Toc471300247" w:history="1">
        <w:r w:rsidRPr="00647AAD">
          <w:rPr>
            <w:rStyle w:val="Hyperlink"/>
            <w:b/>
          </w:rPr>
          <w:t>Processes and procedures</w:t>
        </w:r>
      </w:hyperlink>
    </w:p>
    <w:p w14:paraId="2A08C5EE" w14:textId="77777777" w:rsidR="00647AAD" w:rsidRPr="00647AAD" w:rsidRDefault="00647AAD" w:rsidP="00647AAD">
      <w:pPr>
        <w:pStyle w:val="Strongcolor"/>
        <w:tabs>
          <w:tab w:val="left" w:pos="567"/>
          <w:tab w:val="left" w:pos="4820"/>
        </w:tabs>
        <w:spacing w:after="0" w:line="360" w:lineRule="auto"/>
      </w:pPr>
      <w:r w:rsidRPr="00647AAD">
        <w:tab/>
      </w:r>
      <w:hyperlink w:anchor="_Provider_suitability_requirements" w:history="1">
        <w:r w:rsidRPr="00647AAD">
          <w:rPr>
            <w:rStyle w:val="Hyperlink"/>
            <w:b/>
          </w:rPr>
          <w:t>Provider suitability</w:t>
        </w:r>
      </w:hyperlink>
      <w:r w:rsidRPr="00647AAD">
        <w:rPr>
          <w:rStyle w:val="Hyperlink"/>
          <w:b/>
        </w:rPr>
        <w:tab/>
      </w:r>
      <w:hyperlink w:anchor="_Toc471300329" w:history="1">
        <w:r w:rsidRPr="00647AAD">
          <w:rPr>
            <w:rStyle w:val="Hyperlink"/>
            <w:b/>
          </w:rPr>
          <w:t>Census days</w:t>
        </w:r>
      </w:hyperlink>
    </w:p>
    <w:p w14:paraId="2D9DF78E" w14:textId="77777777" w:rsidR="00647AAD" w:rsidRPr="00647AAD" w:rsidRDefault="00647AAD" w:rsidP="00647AAD">
      <w:pPr>
        <w:pStyle w:val="Strongcolor"/>
        <w:tabs>
          <w:tab w:val="left" w:pos="567"/>
          <w:tab w:val="left" w:pos="4820"/>
        </w:tabs>
        <w:spacing w:after="0" w:line="360" w:lineRule="auto"/>
      </w:pPr>
      <w:r w:rsidRPr="00647AAD">
        <w:tab/>
      </w:r>
      <w:hyperlink w:anchor="_Tuition_assurance" w:history="1">
        <w:r w:rsidRPr="00647AAD">
          <w:t>Tuition assurance</w:t>
        </w:r>
      </w:hyperlink>
      <w:r w:rsidRPr="00647AAD">
        <w:tab/>
      </w:r>
      <w:hyperlink w:anchor="_Marketing" w:history="1">
        <w:r w:rsidRPr="00647AAD">
          <w:t>Marketing</w:t>
        </w:r>
      </w:hyperlink>
    </w:p>
    <w:p w14:paraId="202ECFFD" w14:textId="77777777" w:rsidR="00647AAD" w:rsidRPr="00647AAD" w:rsidRDefault="00647AAD" w:rsidP="00647AAD">
      <w:pPr>
        <w:pStyle w:val="Strongcolor"/>
        <w:tabs>
          <w:tab w:val="left" w:pos="567"/>
          <w:tab w:val="left" w:pos="4820"/>
        </w:tabs>
        <w:spacing w:after="0" w:line="360" w:lineRule="auto"/>
        <w:rPr>
          <w:rStyle w:val="Hyperlink"/>
          <w:b/>
        </w:rPr>
      </w:pPr>
      <w:r w:rsidRPr="00647AAD">
        <w:tab/>
      </w:r>
      <w:hyperlink w:anchor="_Ongoing_information_requirements" w:history="1">
        <w:r w:rsidRPr="00647AAD">
          <w:rPr>
            <w:rStyle w:val="Hyperlink"/>
            <w:b/>
          </w:rPr>
          <w:t>Ongoing information</w:t>
        </w:r>
      </w:hyperlink>
      <w:r w:rsidRPr="00647AAD">
        <w:rPr>
          <w:rStyle w:val="Hyperlink"/>
          <w:b/>
        </w:rPr>
        <w:tab/>
      </w:r>
      <w:hyperlink w:anchor="_Provision_of_information" w:history="1">
        <w:r w:rsidRPr="00647AAD">
          <w:rPr>
            <w:rStyle w:val="Hyperlink"/>
            <w:b/>
          </w:rPr>
          <w:t>Provision of information</w:t>
        </w:r>
      </w:hyperlink>
    </w:p>
    <w:p w14:paraId="3EEDE8BD" w14:textId="38D6A391" w:rsidR="00647AAD" w:rsidRPr="00647AAD" w:rsidRDefault="00647AAD" w:rsidP="00647AAD">
      <w:pPr>
        <w:pStyle w:val="Strongcolor"/>
        <w:tabs>
          <w:tab w:val="left" w:pos="567"/>
          <w:tab w:val="left" w:pos="4820"/>
        </w:tabs>
        <w:spacing w:after="0" w:line="360" w:lineRule="auto"/>
        <w:rPr>
          <w:rStyle w:val="Hyperlink"/>
          <w:b/>
        </w:rPr>
      </w:pPr>
      <w:r w:rsidRPr="00647AAD">
        <w:tab/>
      </w:r>
      <w:hyperlink w:anchor="_Approved_courses_and" w:history="1">
        <w:r w:rsidRPr="00647AAD">
          <w:rPr>
            <w:rStyle w:val="Hyperlink"/>
            <w:b/>
          </w:rPr>
          <w:t>Approved courses</w:t>
        </w:r>
      </w:hyperlink>
      <w:r w:rsidRPr="00647AAD">
        <w:rPr>
          <w:rStyle w:val="Hyperlink"/>
          <w:b/>
        </w:rPr>
        <w:tab/>
      </w:r>
      <w:hyperlink w:anchor="_Retaining_information_and" w:history="1">
        <w:r w:rsidRPr="00647AAD">
          <w:rPr>
            <w:rStyle w:val="Hyperlink"/>
            <w:b/>
          </w:rPr>
          <w:t xml:space="preserve">Retaining </w:t>
        </w:r>
        <w:r w:rsidR="00D55885">
          <w:rPr>
            <w:rStyle w:val="Hyperlink"/>
            <w:b/>
          </w:rPr>
          <w:t xml:space="preserve">&amp; personal </w:t>
        </w:r>
        <w:r w:rsidRPr="00647AAD">
          <w:rPr>
            <w:rStyle w:val="Hyperlink"/>
            <w:b/>
          </w:rPr>
          <w:t>information</w:t>
        </w:r>
      </w:hyperlink>
    </w:p>
    <w:p w14:paraId="48066D9B" w14:textId="77777777" w:rsidR="00647AAD" w:rsidRPr="00647AAD" w:rsidRDefault="00647AAD" w:rsidP="00647AAD">
      <w:pPr>
        <w:pStyle w:val="Strongcolor"/>
        <w:tabs>
          <w:tab w:val="left" w:pos="567"/>
          <w:tab w:val="left" w:pos="4820"/>
        </w:tabs>
        <w:spacing w:after="0" w:line="360" w:lineRule="auto"/>
        <w:rPr>
          <w:rStyle w:val="Hyperlink"/>
          <w:b/>
        </w:rPr>
      </w:pPr>
      <w:r w:rsidRPr="00647AAD">
        <w:tab/>
      </w:r>
      <w:hyperlink w:anchor="_Provision_and_delivery" w:history="1">
        <w:r w:rsidRPr="00647AAD">
          <w:rPr>
            <w:rStyle w:val="Hyperlink"/>
            <w:b/>
          </w:rPr>
          <w:t>Provision and delivery</w:t>
        </w:r>
      </w:hyperlink>
      <w:r w:rsidRPr="00647AAD">
        <w:rPr>
          <w:rStyle w:val="Hyperlink"/>
          <w:b/>
        </w:rPr>
        <w:tab/>
      </w:r>
      <w:hyperlink w:anchor="_Toc471305876" w:history="1">
        <w:r w:rsidRPr="00647AAD">
          <w:rPr>
            <w:rStyle w:val="Hyperlink"/>
            <w:b/>
          </w:rPr>
          <w:t>Data reporting</w:t>
        </w:r>
      </w:hyperlink>
    </w:p>
    <w:p w14:paraId="39A7B012" w14:textId="77777777" w:rsidR="00570B11" w:rsidRDefault="00647AAD" w:rsidP="00647AAD">
      <w:pPr>
        <w:pStyle w:val="Strongcolor"/>
        <w:tabs>
          <w:tab w:val="left" w:pos="567"/>
          <w:tab w:val="left" w:pos="4820"/>
        </w:tabs>
        <w:spacing w:after="0" w:line="360" w:lineRule="auto"/>
        <w:rPr>
          <w:rStyle w:val="Hyperlink"/>
          <w:b/>
        </w:rPr>
      </w:pPr>
      <w:r w:rsidRPr="00647AAD">
        <w:rPr>
          <w:rStyle w:val="Hyperlink"/>
          <w:b/>
        </w:rPr>
        <w:tab/>
      </w:r>
      <w:hyperlink w:anchor="_Student_administration" w:history="1">
        <w:r w:rsidRPr="00647AAD">
          <w:rPr>
            <w:rStyle w:val="Hyperlink"/>
            <w:b/>
          </w:rPr>
          <w:t>Student administration</w:t>
        </w:r>
      </w:hyperlink>
      <w:r w:rsidRPr="00647AAD">
        <w:rPr>
          <w:rStyle w:val="Hyperlink"/>
          <w:b/>
        </w:rPr>
        <w:tab/>
      </w:r>
      <w:hyperlink w:anchor="_Electronic_communications" w:history="1">
        <w:r w:rsidRPr="00647AAD">
          <w:rPr>
            <w:rStyle w:val="Hyperlink"/>
            <w:b/>
          </w:rPr>
          <w:t>Electronic communications</w:t>
        </w:r>
      </w:hyperlink>
    </w:p>
    <w:p w14:paraId="711A776E" w14:textId="7806AB80" w:rsidR="00983AE6" w:rsidRPr="00AE77BF" w:rsidRDefault="00027F5B" w:rsidP="00A0727A">
      <w:pPr>
        <w:pStyle w:val="Heading2"/>
        <w:numPr>
          <w:ilvl w:val="1"/>
          <w:numId w:val="72"/>
        </w:numPr>
        <w:rPr>
          <w:rFonts w:eastAsia="Times New Roman"/>
        </w:rPr>
      </w:pPr>
      <w:bookmarkStart w:id="65" w:name="_Toc477960004"/>
      <w:bookmarkStart w:id="66" w:name="_Toc483222797"/>
      <w:r>
        <w:rPr>
          <w:rFonts w:eastAsia="Times New Roman"/>
        </w:rPr>
        <w:t xml:space="preserve"> </w:t>
      </w:r>
      <w:bookmarkStart w:id="67" w:name="_Toc501621173"/>
      <w:r w:rsidR="00983AE6" w:rsidRPr="00AE77BF">
        <w:rPr>
          <w:rFonts w:eastAsia="Times New Roman"/>
        </w:rPr>
        <w:t>Compliance</w:t>
      </w:r>
      <w:bookmarkEnd w:id="65"/>
      <w:bookmarkEnd w:id="66"/>
      <w:bookmarkEnd w:id="67"/>
    </w:p>
    <w:p w14:paraId="1F64AF73" w14:textId="77777777" w:rsidR="00983AE6" w:rsidRDefault="00983AE6" w:rsidP="00983AE6">
      <w:r w:rsidRPr="00736F23">
        <w:t>The department</w:t>
      </w:r>
      <w:r>
        <w:t xml:space="preserve">’s </w:t>
      </w:r>
      <w:r w:rsidRPr="00736F23">
        <w:t xml:space="preserve">compliance strategy </w:t>
      </w:r>
      <w:r>
        <w:t xml:space="preserve">aims </w:t>
      </w:r>
      <w:r w:rsidRPr="00736F23">
        <w:t xml:space="preserve">to encourage, enforce and strengthen compliance of approved </w:t>
      </w:r>
      <w:r>
        <w:t xml:space="preserve">course </w:t>
      </w:r>
      <w:r w:rsidRPr="00736F23">
        <w:t>providers</w:t>
      </w:r>
      <w:r>
        <w:t>.</w:t>
      </w:r>
    </w:p>
    <w:p w14:paraId="74AB853F" w14:textId="77777777" w:rsidR="00983AE6" w:rsidRPr="00E02F33" w:rsidRDefault="00983AE6" w:rsidP="00983AE6">
      <w:r>
        <w:t>In addition, t</w:t>
      </w:r>
      <w:r w:rsidRPr="00E02F33">
        <w:t>he department works closely with the Australian Skills Quality Authority (ASQA), the Australian Competition and Consumer Commission (ACCC), tuition assurance scheme operators</w:t>
      </w:r>
      <w:r>
        <w:t>, the VET Student Loans Ombudsman</w:t>
      </w:r>
      <w:r w:rsidRPr="00E02F33">
        <w:t xml:space="preserve"> and other stakeholders to deal with matters involving VET Student Loans and VET FEE-HELP providers.  This may involve the exchange of information, or more direct engagement in joint compliance activities.</w:t>
      </w:r>
    </w:p>
    <w:p w14:paraId="7323C41C" w14:textId="77777777" w:rsidR="00983AE6" w:rsidRPr="00736F23" w:rsidRDefault="00983AE6" w:rsidP="00983AE6">
      <w:r w:rsidRPr="00E02F33">
        <w:t xml:space="preserve">Under section 24A of the </w:t>
      </w:r>
      <w:r w:rsidRPr="00E02F33">
        <w:rPr>
          <w:i/>
        </w:rPr>
        <w:t>National Vocational Education and Training Regulator Act 2011</w:t>
      </w:r>
      <w:r w:rsidRPr="00E02F33">
        <w:t xml:space="preserve">, compliance </w:t>
      </w:r>
      <w:r>
        <w:t xml:space="preserve">by a VET FEE-HELP approved provider </w:t>
      </w:r>
      <w:r w:rsidRPr="00E02F33">
        <w:t xml:space="preserve">with </w:t>
      </w:r>
      <w:r>
        <w:t xml:space="preserve">the </w:t>
      </w:r>
      <w:r w:rsidRPr="00E02F33">
        <w:rPr>
          <w:i/>
        </w:rPr>
        <w:t>Higher Education Support Act 2003</w:t>
      </w:r>
      <w:r>
        <w:t xml:space="preserve"> </w:t>
      </w:r>
      <w:r w:rsidRPr="00E02F33">
        <w:t>and</w:t>
      </w:r>
      <w:r>
        <w:t xml:space="preserve"> by a VET Student Loans approved course provider with</w:t>
      </w:r>
      <w:r w:rsidRPr="00E02F33">
        <w:t xml:space="preserve"> the </w:t>
      </w:r>
      <w:r w:rsidRPr="00E02F33">
        <w:rPr>
          <w:i/>
        </w:rPr>
        <w:t xml:space="preserve">VET Student Loans Act 2016 </w:t>
      </w:r>
      <w:r w:rsidRPr="00E02F33">
        <w:t>is a condit</w:t>
      </w:r>
      <w:r>
        <w:t>ion of registration as an RTO. </w:t>
      </w:r>
      <w:r w:rsidRPr="00E02F33">
        <w:t>Failure to comply with either of these Acts could be grounds for ASQA to consider regulatory action under its legislation.</w:t>
      </w:r>
    </w:p>
    <w:p w14:paraId="3E275AB0" w14:textId="77777777" w:rsidR="00983AE6" w:rsidRPr="00082AC6" w:rsidRDefault="00983AE6" w:rsidP="00983AE6">
      <w:pPr>
        <w:pStyle w:val="Heading3"/>
      </w:pPr>
      <w:bookmarkStart w:id="68" w:name="_Toc483222798"/>
      <w:bookmarkStart w:id="69" w:name="_Toc501621174"/>
      <w:r w:rsidRPr="00082AC6">
        <w:t xml:space="preserve">4.1.1 </w:t>
      </w:r>
      <w:r>
        <w:t xml:space="preserve">  </w:t>
      </w:r>
      <w:r w:rsidRPr="00082AC6">
        <w:t>Audits and responding to requests for information</w:t>
      </w:r>
      <w:bookmarkEnd w:id="68"/>
      <w:bookmarkEnd w:id="69"/>
      <w:r w:rsidRPr="00082AC6">
        <w:t xml:space="preserve"> </w:t>
      </w:r>
    </w:p>
    <w:p w14:paraId="06CED6CD" w14:textId="77777777" w:rsidR="00983AE6" w:rsidRPr="000D2300" w:rsidRDefault="00983AE6" w:rsidP="009206B4">
      <w:pPr>
        <w:pStyle w:val="Heading5"/>
      </w:pPr>
      <w:r w:rsidRPr="000D2300">
        <w:t>Audits</w:t>
      </w:r>
    </w:p>
    <w:p w14:paraId="4813272D" w14:textId="77777777" w:rsidR="00983AE6" w:rsidRPr="00736F23" w:rsidRDefault="00983AE6" w:rsidP="00983AE6">
      <w:r w:rsidRPr="00736F23">
        <w:t xml:space="preserve">Providers should be aware that they may be audited at any time in relation to their compliance with the statutory requirements </w:t>
      </w:r>
      <w:r>
        <w:t xml:space="preserve">and/or in relation to whether their students are ‘genuine students’ </w:t>
      </w:r>
      <w:r w:rsidRPr="00082AC6">
        <w:rPr>
          <w:rStyle w:val="ReferenceChar"/>
        </w:rPr>
        <w:t>[Act s 45]</w:t>
      </w:r>
      <w:r w:rsidRPr="00EB14CD">
        <w:t>.</w:t>
      </w:r>
      <w:r w:rsidRPr="00736F23">
        <w:t xml:space="preserve"> Failing to cooperate in audits can also lead to serious consequences for providers</w:t>
      </w:r>
      <w:r>
        <w:t xml:space="preserve"> (such as imposition of a civil penalty)</w:t>
      </w:r>
      <w:r w:rsidRPr="00736F23">
        <w:t xml:space="preserve"> </w:t>
      </w:r>
      <w:r w:rsidRPr="00082AC6">
        <w:rPr>
          <w:rStyle w:val="ReferenceChar"/>
        </w:rPr>
        <w:t>[Act s 46]</w:t>
      </w:r>
      <w:r w:rsidRPr="00EB14CD">
        <w:t xml:space="preserve">. </w:t>
      </w:r>
    </w:p>
    <w:p w14:paraId="21D2C5BD" w14:textId="77777777" w:rsidR="00983AE6" w:rsidRDefault="00983AE6" w:rsidP="00A51097">
      <w:pPr>
        <w:spacing w:after="600"/>
      </w:pPr>
      <w:r w:rsidRPr="00736F23">
        <w:t>Keeping accurate and detailed records will help providers meet their obligations and assist them in complying with audits.</w:t>
      </w:r>
    </w:p>
    <w:p w14:paraId="2DF895B7" w14:textId="77777777" w:rsidR="00983AE6" w:rsidRDefault="00983AE6" w:rsidP="009206B4">
      <w:pPr>
        <w:pStyle w:val="Heading5"/>
      </w:pPr>
      <w:r w:rsidRPr="000D2300">
        <w:lastRenderedPageBreak/>
        <w:t>Secretary may request information</w:t>
      </w:r>
    </w:p>
    <w:p w14:paraId="34944DD8" w14:textId="77777777" w:rsidR="00983AE6" w:rsidRPr="000D2300" w:rsidRDefault="00983AE6" w:rsidP="00983AE6">
      <w:r>
        <w:t xml:space="preserve">Providers should also note that the Department </w:t>
      </w:r>
      <w:r w:rsidRPr="000D2300">
        <w:t>may, by notice in writing, require an approved course provider to give the Secretary information or documents that relate to:</w:t>
      </w:r>
    </w:p>
    <w:p w14:paraId="387B326F" w14:textId="77777777" w:rsidR="00983AE6" w:rsidRPr="0067568C" w:rsidRDefault="00983AE6" w:rsidP="00983AE6">
      <w:pPr>
        <w:pStyle w:val="ListBullet"/>
      </w:pPr>
      <w:r w:rsidRPr="0067568C">
        <w:t>the provision of vocational education and training by the provider, or</w:t>
      </w:r>
    </w:p>
    <w:p w14:paraId="694A936E" w14:textId="77777777" w:rsidR="00983AE6" w:rsidRPr="0067568C" w:rsidRDefault="00983AE6" w:rsidP="00983AE6">
      <w:pPr>
        <w:pStyle w:val="ListBullet"/>
      </w:pPr>
      <w:r w:rsidRPr="00D752D2">
        <w:t>t</w:t>
      </w:r>
      <w:r w:rsidRPr="0067568C">
        <w:t xml:space="preserve">he provider’s compliance with the Act (including Rules </w:t>
      </w:r>
      <w:r w:rsidR="00CA63F8" w:rsidRPr="0067568C">
        <w:t>etc.</w:t>
      </w:r>
      <w:r w:rsidRPr="0067568C">
        <w:t>).</w:t>
      </w:r>
    </w:p>
    <w:p w14:paraId="6D06CB42" w14:textId="77777777" w:rsidR="00983AE6" w:rsidRPr="0089206D" w:rsidRDefault="00983AE6" w:rsidP="00983AE6">
      <w:r w:rsidRPr="0089206D">
        <w:t>Where the Department makes such a request the provider must provide the information or documents in the form specified in the notice (e.g. this may be in the form of a statutory declaration) and in accordance with any other requirements specified in the notice.</w:t>
      </w:r>
    </w:p>
    <w:p w14:paraId="38B09D2F" w14:textId="427A87BD" w:rsidR="00983AE6" w:rsidRPr="0067568C" w:rsidRDefault="00983AE6" w:rsidP="00983AE6">
      <w:r w:rsidRPr="0067568C">
        <w:t>Contravening this requirement may give rise to a civil penalty and is</w:t>
      </w:r>
      <w:r w:rsidR="0024040E">
        <w:t xml:space="preserve"> also</w:t>
      </w:r>
      <w:r w:rsidRPr="0067568C">
        <w:t xml:space="preserve"> a strict liability offence (both of 60 penalty units) </w:t>
      </w:r>
      <w:r w:rsidRPr="00082AC6">
        <w:rPr>
          <w:rStyle w:val="ReferenceChar"/>
        </w:rPr>
        <w:t>[Act s 53]</w:t>
      </w:r>
      <w:r w:rsidRPr="00EB14CD">
        <w:t>.</w:t>
      </w:r>
    </w:p>
    <w:p w14:paraId="6A8AF7CD" w14:textId="77777777" w:rsidR="00983AE6" w:rsidRPr="00F60060" w:rsidRDefault="00983AE6" w:rsidP="00983AE6">
      <w:pPr>
        <w:pStyle w:val="Heading3"/>
      </w:pPr>
      <w:bookmarkStart w:id="70" w:name="_Toc483222799"/>
      <w:bookmarkStart w:id="71" w:name="_Toc501621175"/>
      <w:r w:rsidRPr="00F60060">
        <w:t xml:space="preserve">4.1.2 </w:t>
      </w:r>
      <w:r>
        <w:t xml:space="preserve">  </w:t>
      </w:r>
      <w:r w:rsidRPr="00F60060">
        <w:t>Regulatory powers</w:t>
      </w:r>
      <w:bookmarkEnd w:id="70"/>
      <w:bookmarkEnd w:id="71"/>
    </w:p>
    <w:p w14:paraId="70516A9B" w14:textId="77777777" w:rsidR="00983AE6" w:rsidRDefault="00983AE6" w:rsidP="00983AE6">
      <w:r>
        <w:t xml:space="preserve">The </w:t>
      </w:r>
      <w:r w:rsidRPr="00D752D2">
        <w:rPr>
          <w:i/>
        </w:rPr>
        <w:t>Regulatory Powers (Standard Provisions) Act 2014</w:t>
      </w:r>
      <w:r w:rsidRPr="00D752D2">
        <w:t xml:space="preserve"> (</w:t>
      </w:r>
      <w:r w:rsidRPr="00F60060">
        <w:rPr>
          <w:rStyle w:val="Strong"/>
        </w:rPr>
        <w:t>Regulatory Powers Act</w:t>
      </w:r>
      <w:r w:rsidRPr="00D752D2">
        <w:t>) provides a framework of standard regulatory powers, which can be adopted by Commonwealth regulators through primary legislation</w:t>
      </w:r>
      <w:r>
        <w:t xml:space="preserve">. </w:t>
      </w:r>
    </w:p>
    <w:p w14:paraId="7E73B52A" w14:textId="26DB088A" w:rsidR="00983AE6" w:rsidRDefault="00983AE6" w:rsidP="00983AE6">
      <w:r>
        <w:t xml:space="preserve">The </w:t>
      </w:r>
      <w:r w:rsidRPr="00E11044">
        <w:rPr>
          <w:i/>
        </w:rPr>
        <w:t>VET Student Loan</w:t>
      </w:r>
      <w:r w:rsidR="00D55885">
        <w:rPr>
          <w:i/>
        </w:rPr>
        <w:t>s</w:t>
      </w:r>
      <w:r w:rsidRPr="00E11044">
        <w:rPr>
          <w:i/>
        </w:rPr>
        <w:t xml:space="preserve"> Act 2016 </w:t>
      </w:r>
      <w:r>
        <w:t>incorporates the following regulatory powers from the Regulatory Powers Act:</w:t>
      </w:r>
    </w:p>
    <w:p w14:paraId="37FA0C03" w14:textId="77777777" w:rsidR="00983AE6" w:rsidRPr="0067568C" w:rsidRDefault="00983AE6" w:rsidP="00983AE6">
      <w:pPr>
        <w:pStyle w:val="ListBullet"/>
        <w:rPr>
          <w:color w:val="002060"/>
          <w:sz w:val="16"/>
        </w:rPr>
      </w:pPr>
      <w:r w:rsidRPr="0067568C">
        <w:t>monitoring powers to determine whether the Act has been complied with, including powers of entry and inspection</w:t>
      </w:r>
      <w:r w:rsidRPr="00F60060">
        <w:rPr>
          <w:rStyle w:val="ReferenceChar"/>
        </w:rPr>
        <w:t xml:space="preserve"> [Act, s 82]</w:t>
      </w:r>
    </w:p>
    <w:p w14:paraId="0EAB9D65" w14:textId="77777777" w:rsidR="00983AE6" w:rsidRPr="0067568C" w:rsidRDefault="00983AE6" w:rsidP="00983AE6">
      <w:pPr>
        <w:pStyle w:val="ListBullet"/>
        <w:rPr>
          <w:color w:val="002060"/>
          <w:sz w:val="16"/>
        </w:rPr>
      </w:pPr>
      <w:r w:rsidRPr="0067568C">
        <w:t xml:space="preserve">investigation powers to determine whether a provision has been contravened, including powers of entry, search and seizure </w:t>
      </w:r>
      <w:r w:rsidRPr="00F60060">
        <w:rPr>
          <w:rStyle w:val="ReferenceChar"/>
        </w:rPr>
        <w:t>[Act, s 83]</w:t>
      </w:r>
    </w:p>
    <w:p w14:paraId="68C1D80C" w14:textId="24317492" w:rsidR="00983AE6" w:rsidRPr="0067568C" w:rsidRDefault="00983AE6" w:rsidP="00983AE6">
      <w:pPr>
        <w:pStyle w:val="ListBullet"/>
        <w:rPr>
          <w:color w:val="002060"/>
          <w:sz w:val="16"/>
        </w:rPr>
      </w:pPr>
      <w:r w:rsidRPr="0067568C">
        <w:t xml:space="preserve">enforcement of civil penalty provisions under Part 4 of the Regulatory Powers Act, including by obtaining an order for a person to pay a pecuniary penalty </w:t>
      </w:r>
      <w:r w:rsidRPr="00F60060">
        <w:rPr>
          <w:rStyle w:val="ReferenceChar"/>
        </w:rPr>
        <w:t>[Act, s 84]</w:t>
      </w:r>
    </w:p>
    <w:p w14:paraId="6F8A3294" w14:textId="77777777" w:rsidR="00983AE6" w:rsidRPr="0067568C" w:rsidRDefault="00983AE6" w:rsidP="00983AE6">
      <w:pPr>
        <w:pStyle w:val="ListBullet"/>
        <w:rPr>
          <w:color w:val="002060"/>
          <w:sz w:val="16"/>
        </w:rPr>
      </w:pPr>
      <w:r w:rsidRPr="0067568C">
        <w:t xml:space="preserve">issuing infringement notices for contravention of an offence provision or a civil penalty provision </w:t>
      </w:r>
      <w:r w:rsidRPr="00F60060">
        <w:rPr>
          <w:rStyle w:val="ReferenceChar"/>
        </w:rPr>
        <w:t>[Act s 85]</w:t>
      </w:r>
    </w:p>
    <w:p w14:paraId="23C33906" w14:textId="77777777" w:rsidR="00983AE6" w:rsidRPr="0067568C" w:rsidRDefault="00983AE6" w:rsidP="00983AE6">
      <w:pPr>
        <w:pStyle w:val="ListBullet"/>
        <w:rPr>
          <w:color w:val="002060"/>
          <w:sz w:val="16"/>
        </w:rPr>
      </w:pPr>
      <w:r w:rsidRPr="0067568C">
        <w:t>accepting and enforcing undertakings relating to compliance with provisions</w:t>
      </w:r>
      <w:r w:rsidRPr="00F60060">
        <w:rPr>
          <w:rStyle w:val="ReferenceChar"/>
        </w:rPr>
        <w:t xml:space="preserve"> [Act, s 86]</w:t>
      </w:r>
    </w:p>
    <w:p w14:paraId="136F6C54" w14:textId="77777777" w:rsidR="00983AE6" w:rsidRPr="0067568C" w:rsidRDefault="00983AE6" w:rsidP="00983AE6">
      <w:pPr>
        <w:pStyle w:val="ListBullet"/>
        <w:rPr>
          <w:color w:val="002060"/>
          <w:sz w:val="16"/>
        </w:rPr>
      </w:pPr>
      <w:r w:rsidRPr="0067568C">
        <w:t xml:space="preserve">using injunctions to enforce provisions </w:t>
      </w:r>
      <w:r w:rsidRPr="00F60060">
        <w:rPr>
          <w:rStyle w:val="ReferenceChar"/>
        </w:rPr>
        <w:t>[Act, s 87]</w:t>
      </w:r>
    </w:p>
    <w:p w14:paraId="349BA17E" w14:textId="77777777" w:rsidR="00983AE6" w:rsidRPr="0067568C" w:rsidRDefault="00983AE6" w:rsidP="00983AE6">
      <w:pPr>
        <w:pStyle w:val="ListBullet"/>
        <w:rPr>
          <w:color w:val="002060"/>
          <w:sz w:val="16"/>
        </w:rPr>
      </w:pPr>
      <w:r w:rsidRPr="0067568C">
        <w:t xml:space="preserve">appointment of investigators </w:t>
      </w:r>
      <w:r w:rsidRPr="00F60060">
        <w:rPr>
          <w:rStyle w:val="ReferenceChar"/>
        </w:rPr>
        <w:t>[Act, s 88]</w:t>
      </w:r>
    </w:p>
    <w:p w14:paraId="518F237B" w14:textId="5C3ECC92" w:rsidR="00983AE6" w:rsidRDefault="00983AE6" w:rsidP="00983AE6">
      <w:pPr>
        <w:rPr>
          <w:rStyle w:val="ReferenceChar"/>
        </w:rPr>
      </w:pPr>
      <w:r w:rsidRPr="0067568C">
        <w:t xml:space="preserve">For the avoidance of doubt, taking action under </w:t>
      </w:r>
      <w:r w:rsidR="0024040E">
        <w:t>the above provisions</w:t>
      </w:r>
      <w:r w:rsidRPr="0067568C">
        <w:t xml:space="preserve"> does not limit the department from taking action under any other provision of the Act </w:t>
      </w:r>
      <w:r w:rsidRPr="00F60060">
        <w:rPr>
          <w:rStyle w:val="ReferenceChar"/>
        </w:rPr>
        <w:t xml:space="preserve">[Act, s </w:t>
      </w:r>
      <w:r w:rsidR="0024040E">
        <w:rPr>
          <w:rStyle w:val="ReferenceChar"/>
        </w:rPr>
        <w:t>90</w:t>
      </w:r>
      <w:r w:rsidRPr="00F60060">
        <w:rPr>
          <w:rStyle w:val="ReferenceChar"/>
        </w:rPr>
        <w:t>]</w:t>
      </w:r>
      <w:r w:rsidRPr="00EB14CD">
        <w:t>.</w:t>
      </w:r>
    </w:p>
    <w:p w14:paraId="7B51152C" w14:textId="77777777" w:rsidR="00983AE6" w:rsidRPr="00F60060" w:rsidRDefault="00983AE6" w:rsidP="00983AE6">
      <w:pPr>
        <w:pStyle w:val="Heading3"/>
      </w:pPr>
      <w:bookmarkStart w:id="72" w:name="_Toc483222800"/>
      <w:bookmarkStart w:id="73" w:name="_Toc501621176"/>
      <w:r w:rsidRPr="00F60060">
        <w:t xml:space="preserve">4.1.3 </w:t>
      </w:r>
      <w:r>
        <w:t xml:space="preserve">  </w:t>
      </w:r>
      <w:r w:rsidRPr="00F60060">
        <w:t>Compliance action</w:t>
      </w:r>
      <w:bookmarkEnd w:id="72"/>
      <w:bookmarkEnd w:id="73"/>
    </w:p>
    <w:p w14:paraId="70A643F9" w14:textId="77777777" w:rsidR="00983AE6" w:rsidRPr="00736F23" w:rsidRDefault="00983AE6" w:rsidP="00983AE6">
      <w:r w:rsidRPr="00736F23">
        <w:t>Actions that could be taken against a provider for failing to meet obligations under the Act and the Rules include:</w:t>
      </w:r>
    </w:p>
    <w:p w14:paraId="358AA590" w14:textId="77777777" w:rsidR="00983AE6" w:rsidRDefault="00983AE6" w:rsidP="00983AE6">
      <w:pPr>
        <w:pStyle w:val="ListBullet"/>
        <w:rPr>
          <w:noProof/>
        </w:rPr>
      </w:pPr>
      <w:r>
        <w:rPr>
          <w:noProof/>
        </w:rPr>
        <w:t xml:space="preserve">the Secretary may determine not to pay a loan amount for student(s) of the provider </w:t>
      </w:r>
      <w:r w:rsidRPr="00F60060">
        <w:rPr>
          <w:rStyle w:val="ReferenceChar"/>
        </w:rPr>
        <w:t>[Act s 20(f)]</w:t>
      </w:r>
    </w:p>
    <w:p w14:paraId="22FE53C4" w14:textId="77777777" w:rsidR="00983AE6" w:rsidRPr="00D234E3" w:rsidRDefault="00983AE6" w:rsidP="00983AE6">
      <w:pPr>
        <w:pStyle w:val="ListBullet"/>
        <w:rPr>
          <w:noProof/>
        </w:rPr>
      </w:pPr>
      <w:r w:rsidRPr="00736F23">
        <w:rPr>
          <w:noProof/>
        </w:rPr>
        <w:t xml:space="preserve">conditions being placed on a provider’s approval </w:t>
      </w:r>
      <w:r w:rsidRPr="00F60060">
        <w:rPr>
          <w:rStyle w:val="ReferenceChar"/>
        </w:rPr>
        <w:t>[Act s 34]</w:t>
      </w:r>
    </w:p>
    <w:p w14:paraId="11E04080" w14:textId="77777777" w:rsidR="00983AE6" w:rsidRPr="00D234E3" w:rsidRDefault="00983AE6" w:rsidP="00983AE6">
      <w:pPr>
        <w:pStyle w:val="ListBullet"/>
        <w:rPr>
          <w:noProof/>
        </w:rPr>
      </w:pPr>
      <w:r w:rsidRPr="00E11044">
        <w:rPr>
          <w:noProof/>
        </w:rPr>
        <w:t xml:space="preserve">compliance notice being issued </w:t>
      </w:r>
      <w:r w:rsidRPr="00F60060">
        <w:rPr>
          <w:rStyle w:val="ReferenceChar"/>
        </w:rPr>
        <w:t>[Act s 43]</w:t>
      </w:r>
    </w:p>
    <w:p w14:paraId="63172E1D" w14:textId="77777777" w:rsidR="00983AE6" w:rsidRPr="00736F23" w:rsidRDefault="00983AE6" w:rsidP="00983AE6">
      <w:pPr>
        <w:pStyle w:val="ListBullet"/>
        <w:rPr>
          <w:noProof/>
        </w:rPr>
      </w:pPr>
      <w:r w:rsidRPr="00736F23">
        <w:rPr>
          <w:noProof/>
        </w:rPr>
        <w:t xml:space="preserve">suspension or revocation of a provider’s approval </w:t>
      </w:r>
      <w:r w:rsidRPr="00F60060">
        <w:rPr>
          <w:rStyle w:val="ReferenceChar"/>
        </w:rPr>
        <w:t>[Act s 36]</w:t>
      </w:r>
    </w:p>
    <w:p w14:paraId="0B50F08B" w14:textId="05E87D16" w:rsidR="00983AE6" w:rsidRPr="00736F23" w:rsidRDefault="00983AE6" w:rsidP="00983AE6">
      <w:pPr>
        <w:pStyle w:val="ListBullet"/>
        <w:rPr>
          <w:noProof/>
        </w:rPr>
      </w:pPr>
      <w:r>
        <w:rPr>
          <w:noProof/>
        </w:rPr>
        <w:t xml:space="preserve">issuing </w:t>
      </w:r>
      <w:r w:rsidRPr="00736F23">
        <w:rPr>
          <w:noProof/>
        </w:rPr>
        <w:t xml:space="preserve">an infringement notice </w:t>
      </w:r>
      <w:r>
        <w:rPr>
          <w:noProof/>
        </w:rPr>
        <w:t>where there is a reasonable belief that the provider has contravened a civil penalty provision</w:t>
      </w:r>
      <w:r w:rsidR="00CF31C1">
        <w:rPr>
          <w:noProof/>
        </w:rPr>
        <w:t>,</w:t>
      </w:r>
      <w:r w:rsidRPr="00736F23">
        <w:rPr>
          <w:noProof/>
        </w:rPr>
        <w:t xml:space="preserve"> and</w:t>
      </w:r>
    </w:p>
    <w:p w14:paraId="3B28CE73" w14:textId="2DFDA102" w:rsidR="00983AE6" w:rsidRPr="00CF31C1" w:rsidRDefault="00983AE6" w:rsidP="00A775DD">
      <w:pPr>
        <w:pStyle w:val="ListBullet"/>
        <w:rPr>
          <w:rFonts w:ascii="Calibri" w:eastAsiaTheme="majorEastAsia" w:hAnsi="Calibri" w:cstheme="majorBidi"/>
          <w:b/>
          <w:bCs/>
          <w:color w:val="24206B"/>
        </w:rPr>
      </w:pPr>
      <w:r w:rsidRPr="00736F23">
        <w:rPr>
          <w:noProof/>
        </w:rPr>
        <w:t>the imposition of</w:t>
      </w:r>
      <w:r w:rsidRPr="00736F23">
        <w:t xml:space="preserve"> a civil penalty by a court</w:t>
      </w:r>
      <w:r>
        <w:t xml:space="preserve">, where the </w:t>
      </w:r>
      <w:r>
        <w:rPr>
          <w:noProof/>
        </w:rPr>
        <w:t>provider has contravened a civil penalty provision</w:t>
      </w:r>
      <w:r w:rsidRPr="00736F23">
        <w:t>.</w:t>
      </w:r>
      <w:bookmarkStart w:id="74" w:name="_Toc483222801"/>
    </w:p>
    <w:p w14:paraId="2784F655" w14:textId="77777777" w:rsidR="00EB26EC" w:rsidRDefault="00EB26EC">
      <w:pPr>
        <w:spacing w:line="276" w:lineRule="auto"/>
        <w:rPr>
          <w:rFonts w:ascii="Calibri" w:eastAsiaTheme="majorEastAsia" w:hAnsi="Calibri" w:cstheme="majorBidi"/>
          <w:b/>
          <w:bCs/>
          <w:color w:val="24206B"/>
        </w:rPr>
      </w:pPr>
      <w:r>
        <w:br w:type="page"/>
      </w:r>
    </w:p>
    <w:p w14:paraId="32EAEB94" w14:textId="77777777" w:rsidR="00983AE6" w:rsidRPr="00F60060" w:rsidRDefault="00983AE6" w:rsidP="00983AE6">
      <w:pPr>
        <w:pStyle w:val="Heading3"/>
      </w:pPr>
      <w:bookmarkStart w:id="75" w:name="_Toc501621177"/>
      <w:r w:rsidRPr="00F60060">
        <w:lastRenderedPageBreak/>
        <w:t>4.1.4</w:t>
      </w:r>
      <w:r>
        <w:t xml:space="preserve">  </w:t>
      </w:r>
      <w:r w:rsidRPr="00F60060">
        <w:t xml:space="preserve"> Civil penalties and criminal offences</w:t>
      </w:r>
      <w:bookmarkEnd w:id="74"/>
      <w:bookmarkEnd w:id="75"/>
    </w:p>
    <w:p w14:paraId="795C584A" w14:textId="77777777" w:rsidR="00983AE6" w:rsidRPr="00736F23" w:rsidRDefault="00983AE6" w:rsidP="00983AE6">
      <w:r w:rsidRPr="00736F23">
        <w:t>The Act includes</w:t>
      </w:r>
      <w:r>
        <w:t xml:space="preserve"> a</w:t>
      </w:r>
      <w:r w:rsidRPr="00736F23">
        <w:t xml:space="preserve"> number of civil penalties</w:t>
      </w:r>
      <w:r>
        <w:t xml:space="preserve"> provisions</w:t>
      </w:r>
      <w:r w:rsidRPr="00736F23">
        <w:t xml:space="preserve"> </w:t>
      </w:r>
      <w:r>
        <w:t>for contravention of certain requirements</w:t>
      </w:r>
      <w:r w:rsidRPr="00736F23">
        <w:t>. These include</w:t>
      </w:r>
      <w:r>
        <w:t>, by way of example</w:t>
      </w:r>
      <w:r w:rsidRPr="00736F23">
        <w:t xml:space="preserve">: </w:t>
      </w:r>
    </w:p>
    <w:p w14:paraId="66B412AE" w14:textId="77777777" w:rsidR="00983AE6" w:rsidRPr="0067568C" w:rsidRDefault="00983AE6" w:rsidP="00983AE6">
      <w:pPr>
        <w:pStyle w:val="ListBullet"/>
      </w:pPr>
      <w:r w:rsidRPr="0067568C">
        <w:t>failing to have processes and procedures in place</w:t>
      </w:r>
    </w:p>
    <w:p w14:paraId="253D8A89" w14:textId="77777777" w:rsidR="00983AE6" w:rsidRPr="0067568C" w:rsidRDefault="00983AE6" w:rsidP="00983AE6">
      <w:pPr>
        <w:pStyle w:val="ListBullet"/>
      </w:pPr>
      <w:r w:rsidRPr="0067568C">
        <w:t>failing to cooperate with the department or ASQA</w:t>
      </w:r>
    </w:p>
    <w:p w14:paraId="44F85DC5" w14:textId="77777777" w:rsidR="00983AE6" w:rsidRPr="0067568C" w:rsidRDefault="00983AE6" w:rsidP="00983AE6">
      <w:pPr>
        <w:pStyle w:val="ListBullet"/>
      </w:pPr>
      <w:r w:rsidRPr="0067568C">
        <w:t xml:space="preserve">failing to provide information under the Act and the Rules and </w:t>
      </w:r>
    </w:p>
    <w:p w14:paraId="07322AA8" w14:textId="77777777" w:rsidR="00983AE6" w:rsidRPr="0067568C" w:rsidRDefault="00983AE6" w:rsidP="00983AE6">
      <w:pPr>
        <w:pStyle w:val="ListBullet"/>
      </w:pPr>
      <w:r w:rsidRPr="0067568C">
        <w:t xml:space="preserve">specific provisions in relation to census days, fees, tuition assurance, marketing and electronic communications. </w:t>
      </w:r>
    </w:p>
    <w:p w14:paraId="2A9B2B93" w14:textId="15727A82" w:rsidR="00983AE6" w:rsidRPr="00736F23" w:rsidRDefault="00983AE6" w:rsidP="00983AE6">
      <w:r w:rsidRPr="00736F23">
        <w:t xml:space="preserve">As at </w:t>
      </w:r>
      <w:r w:rsidR="00B2684B">
        <w:t>July</w:t>
      </w:r>
      <w:r w:rsidRPr="00736F23">
        <w:t xml:space="preserve"> 201</w:t>
      </w:r>
      <w:r>
        <w:t>7</w:t>
      </w:r>
      <w:r w:rsidRPr="00736F23">
        <w:t>, the penalties range from 60 penalty units to 240 penalty units for individuals ($</w:t>
      </w:r>
      <w:r w:rsidR="00B2684B">
        <w:t>12,600 – </w:t>
      </w:r>
      <w:r w:rsidRPr="00736F23">
        <w:t>$</w:t>
      </w:r>
      <w:r w:rsidR="00B2684B">
        <w:t>50,400</w:t>
      </w:r>
      <w:r w:rsidRPr="00736F23">
        <w:t>) and 300 penalty units to 1200 penalty units ($</w:t>
      </w:r>
      <w:r w:rsidR="00B2684B">
        <w:t>63</w:t>
      </w:r>
      <w:r w:rsidRPr="00736F23">
        <w:t>,000</w:t>
      </w:r>
      <w:r w:rsidR="00B2684B">
        <w:t> – </w:t>
      </w:r>
      <w:r w:rsidRPr="00736F23">
        <w:t>$</w:t>
      </w:r>
      <w:r w:rsidR="00B2684B">
        <w:t>252</w:t>
      </w:r>
      <w:r w:rsidRPr="00736F23">
        <w:t xml:space="preserve">,000) for corporations. </w:t>
      </w:r>
    </w:p>
    <w:p w14:paraId="1DE37741" w14:textId="77777777" w:rsidR="00983AE6" w:rsidRPr="00736F23" w:rsidRDefault="00983AE6" w:rsidP="00983AE6">
      <w:r w:rsidRPr="00736F23">
        <w:t xml:space="preserve">In addition to the imposition of penalties, providers should be aware that failure to meet </w:t>
      </w:r>
      <w:r>
        <w:t xml:space="preserve">certain </w:t>
      </w:r>
      <w:r w:rsidRPr="00736F23">
        <w:t>obligations could amount to the commission of a criminal offence. The Act provides for a number of strict liability offences, this means that it does not matter that a provider did not intend to commit the offence, it is enough that the provider engaged in the prohibited conduct. The Act provides a maximum fine payable for these offences.</w:t>
      </w:r>
      <w:r>
        <w:t xml:space="preserve"> Contravention of certain requirements (specifically in relation to the misuse of personal information) may result in imprisonment for up to 2 years.</w:t>
      </w:r>
    </w:p>
    <w:p w14:paraId="3A62ABB7" w14:textId="77777777" w:rsidR="00983AE6" w:rsidRDefault="00983AE6" w:rsidP="00983AE6">
      <w:r w:rsidRPr="00736F23">
        <w:t>A summary of the civil penalties and criminal offences under the Act is at</w:t>
      </w:r>
      <w:r w:rsidRPr="00DF2205">
        <w:rPr>
          <w:rStyle w:val="Hyperlink"/>
        </w:rPr>
        <w:t xml:space="preserve"> </w:t>
      </w:r>
      <w:hyperlink w:anchor="_Appendix_B_–" w:history="1">
        <w:r w:rsidRPr="00DF2205">
          <w:rPr>
            <w:rStyle w:val="Hyperlink"/>
          </w:rPr>
          <w:t>Appendix A</w:t>
        </w:r>
      </w:hyperlink>
      <w:r w:rsidRPr="00736F23">
        <w:t>.</w:t>
      </w:r>
    </w:p>
    <w:p w14:paraId="766260AC" w14:textId="77777777" w:rsidR="00983AE6" w:rsidRPr="00DF2205" w:rsidRDefault="00983AE6" w:rsidP="00983AE6">
      <w:pPr>
        <w:pStyle w:val="Heading3"/>
      </w:pPr>
      <w:bookmarkStart w:id="76" w:name="_Toc483222802"/>
      <w:bookmarkStart w:id="77" w:name="_Toc501621178"/>
      <w:r w:rsidRPr="00DF2205">
        <w:t xml:space="preserve">4.1.5 </w:t>
      </w:r>
      <w:r>
        <w:t xml:space="preserve">  </w:t>
      </w:r>
      <w:r w:rsidRPr="00DF2205">
        <w:t>Personal liability for executive officers</w:t>
      </w:r>
      <w:bookmarkEnd w:id="76"/>
      <w:bookmarkEnd w:id="77"/>
    </w:p>
    <w:p w14:paraId="3723947B" w14:textId="77777777" w:rsidR="00983AE6" w:rsidRPr="000D2300" w:rsidRDefault="00983AE6" w:rsidP="00983AE6">
      <w:r>
        <w:t xml:space="preserve">Providers should note that under the Act executive officers of a provider may be found personally liable for the actions of the provider. </w:t>
      </w:r>
      <w:r w:rsidRPr="000D2300">
        <w:t>An executive officer of an approved course provider commits an offence if:</w:t>
      </w:r>
    </w:p>
    <w:p w14:paraId="6B03FF09" w14:textId="77777777" w:rsidR="00983AE6" w:rsidRPr="00BA4EBA" w:rsidRDefault="00983AE6" w:rsidP="00983AE6">
      <w:pPr>
        <w:pStyle w:val="ListBullet"/>
      </w:pPr>
      <w:r w:rsidRPr="00BA4EBA">
        <w:t>the provider commits an offence against this Act</w:t>
      </w:r>
      <w:r>
        <w:t>,</w:t>
      </w:r>
      <w:r w:rsidRPr="00BA4EBA">
        <w:t xml:space="preserve"> and</w:t>
      </w:r>
    </w:p>
    <w:p w14:paraId="135BD9A2" w14:textId="77777777" w:rsidR="00983AE6" w:rsidRPr="00BA4EBA" w:rsidRDefault="00983AE6" w:rsidP="00983AE6">
      <w:pPr>
        <w:pStyle w:val="ListBullet"/>
      </w:pPr>
      <w:r w:rsidRPr="00BA4EBA">
        <w:t>the officer knew that the offence would be committed</w:t>
      </w:r>
      <w:r>
        <w:t>,</w:t>
      </w:r>
      <w:r w:rsidRPr="00BA4EBA">
        <w:t xml:space="preserve"> and</w:t>
      </w:r>
    </w:p>
    <w:p w14:paraId="45B8DBEA" w14:textId="77777777" w:rsidR="00983AE6" w:rsidRPr="00BA4EBA" w:rsidRDefault="00983AE6" w:rsidP="00983AE6">
      <w:pPr>
        <w:pStyle w:val="ListBullet"/>
      </w:pPr>
      <w:r w:rsidRPr="00BA4EBA">
        <w:t>the officer was in a position to influence the conduct of the provider in relation to the commission of the offence</w:t>
      </w:r>
      <w:r>
        <w:t>,</w:t>
      </w:r>
      <w:r w:rsidRPr="00BA4EBA">
        <w:t xml:space="preserve"> and</w:t>
      </w:r>
    </w:p>
    <w:p w14:paraId="5FD98576" w14:textId="77777777" w:rsidR="00983AE6" w:rsidRPr="00BA4EBA" w:rsidRDefault="00983AE6" w:rsidP="00983AE6">
      <w:pPr>
        <w:pStyle w:val="ListBullet"/>
      </w:pPr>
      <w:r w:rsidRPr="00BA4EBA">
        <w:t>the officer failed to take all reasonable steps to prevent the commission of the offence</w:t>
      </w:r>
      <w:r>
        <w:t xml:space="preserve"> </w:t>
      </w:r>
      <w:r w:rsidRPr="00DF2205">
        <w:rPr>
          <w:rStyle w:val="ReferenceChar"/>
        </w:rPr>
        <w:t>[Act s 65(1)]</w:t>
      </w:r>
      <w:r w:rsidRPr="00EB14CD">
        <w:t>.</w:t>
      </w:r>
    </w:p>
    <w:p w14:paraId="36E1D776" w14:textId="001A434F" w:rsidR="00983AE6" w:rsidRDefault="00983AE6" w:rsidP="00983AE6">
      <w:pPr>
        <w:rPr>
          <w:b/>
          <w:i/>
          <w:color w:val="7030A0"/>
        </w:rPr>
      </w:pPr>
      <w:r>
        <w:t>Where an executive officer is found personally liable, t</w:t>
      </w:r>
      <w:r w:rsidRPr="000D2300">
        <w:t>he maximum penalty for an offence is one-fifth of the maximum penalty that could be imposed for the of</w:t>
      </w:r>
      <w:r>
        <w:t xml:space="preserve">fence committed by the </w:t>
      </w:r>
      <w:r w:rsidRPr="00C92765">
        <w:t>provider – so where a provider would be subject to 60 penalty units (currently $</w:t>
      </w:r>
      <w:r w:rsidR="00C27DBD">
        <w:t>12,600</w:t>
      </w:r>
      <w:r w:rsidRPr="00C92765">
        <w:t>) the executive officer would be subject to a maximum of 12 penalty units ($</w:t>
      </w:r>
      <w:r w:rsidR="00C27DBD">
        <w:t>2,520</w:t>
      </w:r>
      <w:r w:rsidRPr="00C92765">
        <w:t>).</w:t>
      </w:r>
    </w:p>
    <w:p w14:paraId="11138A4F" w14:textId="77777777" w:rsidR="00983AE6" w:rsidRPr="00C92765" w:rsidRDefault="00983AE6" w:rsidP="009206B4">
      <w:pPr>
        <w:pStyle w:val="Heading5"/>
      </w:pPr>
      <w:r w:rsidRPr="00C92765">
        <w:t>Civil penalty</w:t>
      </w:r>
    </w:p>
    <w:p w14:paraId="35ADB445" w14:textId="77777777" w:rsidR="00983AE6" w:rsidRPr="000D2300" w:rsidRDefault="00983AE6" w:rsidP="00983AE6">
      <w:r w:rsidRPr="000D2300">
        <w:t>An executive officer of an approved course provider contravenes subsection</w:t>
      </w:r>
      <w:r>
        <w:t xml:space="preserve"> 65(3) of the Act</w:t>
      </w:r>
      <w:r w:rsidRPr="000D2300">
        <w:t xml:space="preserve"> if:</w:t>
      </w:r>
    </w:p>
    <w:p w14:paraId="63E97E0D" w14:textId="77777777" w:rsidR="00983AE6" w:rsidRPr="000D2300" w:rsidRDefault="00983AE6" w:rsidP="00983AE6">
      <w:pPr>
        <w:pStyle w:val="ListBullet"/>
      </w:pPr>
      <w:r w:rsidRPr="000D2300">
        <w:t>the provider contravenes a civil penalty provision of th</w:t>
      </w:r>
      <w:r>
        <w:t>e</w:t>
      </w:r>
      <w:r w:rsidRPr="000D2300">
        <w:t xml:space="preserve"> Act</w:t>
      </w:r>
      <w:r>
        <w:t>,</w:t>
      </w:r>
      <w:r w:rsidRPr="000D2300">
        <w:t xml:space="preserve"> and</w:t>
      </w:r>
    </w:p>
    <w:p w14:paraId="0F95A167" w14:textId="77777777" w:rsidR="00983AE6" w:rsidRPr="000D2300" w:rsidRDefault="00983AE6" w:rsidP="00983AE6">
      <w:pPr>
        <w:pStyle w:val="ListBullet"/>
      </w:pPr>
      <w:r w:rsidRPr="000D2300">
        <w:t>the officer knew that the contravention would occur</w:t>
      </w:r>
      <w:r>
        <w:t>,</w:t>
      </w:r>
      <w:r w:rsidRPr="000D2300">
        <w:t xml:space="preserve"> and</w:t>
      </w:r>
    </w:p>
    <w:p w14:paraId="7A5D9660" w14:textId="77777777" w:rsidR="00983AE6" w:rsidRPr="000D2300" w:rsidRDefault="00983AE6" w:rsidP="00983AE6">
      <w:pPr>
        <w:pStyle w:val="ListBullet"/>
      </w:pPr>
      <w:r w:rsidRPr="000D2300">
        <w:t>the officer was in a position to influence the conduct of the provider in relation to the contravention</w:t>
      </w:r>
      <w:r>
        <w:t>,</w:t>
      </w:r>
      <w:r w:rsidRPr="000D2300">
        <w:t xml:space="preserve"> and</w:t>
      </w:r>
    </w:p>
    <w:p w14:paraId="735ED649" w14:textId="77777777" w:rsidR="00983AE6" w:rsidRPr="000D2300" w:rsidRDefault="00983AE6" w:rsidP="00983AE6">
      <w:pPr>
        <w:pStyle w:val="ListBullet"/>
      </w:pPr>
      <w:r w:rsidRPr="000D2300">
        <w:t>the officer failed to take all reasonable steps to prevent the contravention.</w:t>
      </w:r>
    </w:p>
    <w:p w14:paraId="184FA0A3" w14:textId="77777777" w:rsidR="00983AE6" w:rsidRPr="00C92765" w:rsidRDefault="00983AE6" w:rsidP="00983AE6">
      <w:pPr>
        <w:pStyle w:val="BodyIndent1"/>
        <w:ind w:left="0"/>
        <w:rPr>
          <w:rFonts w:asciiTheme="minorHAnsi" w:hAnsiTheme="minorHAnsi" w:cstheme="minorHAnsi"/>
          <w:color w:val="7030A0"/>
        </w:rPr>
      </w:pPr>
      <w:r w:rsidRPr="00A248CC">
        <w:t>The maximum civil penalty for a contravention of subsection 65(3) is one-fifth of the maximum penalty that could be imposed for the contravention of the civil penalty provision by the provider</w:t>
      </w:r>
      <w:r w:rsidRPr="00C92765">
        <w:rPr>
          <w:rFonts w:asciiTheme="minorHAnsi" w:hAnsiTheme="minorHAnsi" w:cstheme="minorHAnsi"/>
        </w:rPr>
        <w:t>.</w:t>
      </w:r>
    </w:p>
    <w:p w14:paraId="41D25944" w14:textId="77777777" w:rsidR="00D2391A" w:rsidRDefault="00D2391A">
      <w:pPr>
        <w:spacing w:line="276" w:lineRule="auto"/>
        <w:rPr>
          <w:rFonts w:ascii="Calibri" w:eastAsiaTheme="majorEastAsia" w:hAnsi="Calibri" w:cstheme="majorBidi"/>
          <w:b/>
          <w:bCs/>
          <w:i/>
          <w:iCs/>
        </w:rPr>
      </w:pPr>
      <w:r>
        <w:br w:type="page"/>
      </w:r>
    </w:p>
    <w:p w14:paraId="3DB76D8E" w14:textId="77777777" w:rsidR="00983AE6" w:rsidRPr="00C92765" w:rsidRDefault="00983AE6" w:rsidP="009206B4">
      <w:pPr>
        <w:pStyle w:val="Heading5"/>
      </w:pPr>
      <w:r w:rsidRPr="00C92765">
        <w:lastRenderedPageBreak/>
        <w:t>Reasonable steps to prevent offence or contravention</w:t>
      </w:r>
    </w:p>
    <w:p w14:paraId="40F2B0FC" w14:textId="77777777" w:rsidR="00983AE6" w:rsidRPr="00BA4EBA" w:rsidRDefault="00983AE6" w:rsidP="00983AE6">
      <w:r>
        <w:t>I</w:t>
      </w:r>
      <w:r w:rsidRPr="00BA4EBA">
        <w:t>n determining whether an executive officer failed to take all reasonable steps to prevent the commission of an offence, or the contravention of a civil penalty provision, a court is to have regard to</w:t>
      </w:r>
      <w:r>
        <w:t xml:space="preserve"> (among other things)</w:t>
      </w:r>
      <w:r w:rsidRPr="00BA4EBA">
        <w:t>:</w:t>
      </w:r>
    </w:p>
    <w:p w14:paraId="397C8991" w14:textId="77777777" w:rsidR="00983AE6" w:rsidRPr="00751DA2" w:rsidRDefault="00983AE6" w:rsidP="00983AE6">
      <w:pPr>
        <w:pStyle w:val="ListBullet"/>
      </w:pPr>
      <w:r w:rsidRPr="00751DA2">
        <w:t>what action (if any) the officer took towards ensuring that the provider’s employees, agents and contractors had a reasonable knowledge and understanding of the requirements to comply with the Act, in so far as those requirements affected the employees, agents or contractors concerned, and</w:t>
      </w:r>
    </w:p>
    <w:p w14:paraId="79B6473B" w14:textId="77777777" w:rsidR="00983AE6" w:rsidRPr="00751DA2" w:rsidRDefault="00983AE6" w:rsidP="00983AE6">
      <w:pPr>
        <w:pStyle w:val="ListBullet"/>
      </w:pPr>
      <w:r w:rsidRPr="00751DA2">
        <w:t>what action (if any) the officer took when he or she became aware of the offence or contravention.</w:t>
      </w:r>
    </w:p>
    <w:p w14:paraId="788BAAC2" w14:textId="355AAA70" w:rsidR="00A648A0" w:rsidRPr="00A648A0" w:rsidRDefault="00027F5B" w:rsidP="00A0727A">
      <w:pPr>
        <w:pStyle w:val="Heading2"/>
        <w:numPr>
          <w:ilvl w:val="1"/>
          <w:numId w:val="71"/>
        </w:numPr>
        <w:rPr>
          <w:rFonts w:eastAsia="Times New Roman"/>
        </w:rPr>
      </w:pPr>
      <w:bookmarkStart w:id="78" w:name="_4.1.6__"/>
      <w:bookmarkStart w:id="79" w:name="_Course_provider_requirements"/>
      <w:bookmarkStart w:id="80" w:name="_Ref479843729"/>
      <w:bookmarkStart w:id="81" w:name="_Toc483222803"/>
      <w:bookmarkEnd w:id="78"/>
      <w:bookmarkEnd w:id="79"/>
      <w:r>
        <w:rPr>
          <w:rFonts w:eastAsia="Times New Roman"/>
        </w:rPr>
        <w:t xml:space="preserve">  </w:t>
      </w:r>
      <w:bookmarkStart w:id="82" w:name="_Toc501621179"/>
      <w:r w:rsidR="00A533B6" w:rsidRPr="00AE77BF">
        <w:rPr>
          <w:rFonts w:eastAsia="Times New Roman"/>
        </w:rPr>
        <w:t>Course provider requirements</w:t>
      </w:r>
      <w:bookmarkEnd w:id="82"/>
    </w:p>
    <w:p w14:paraId="60D78E2E" w14:textId="55222BEA" w:rsidR="00983AE6" w:rsidRPr="00A248CC" w:rsidRDefault="00983AE6" w:rsidP="00A0727A">
      <w:pPr>
        <w:pStyle w:val="Heading3"/>
        <w:numPr>
          <w:ilvl w:val="2"/>
          <w:numId w:val="71"/>
        </w:numPr>
      </w:pPr>
      <w:bookmarkStart w:id="83" w:name="_Toc501621180"/>
      <w:r w:rsidRPr="00A248CC">
        <w:t>Course provider requirements</w:t>
      </w:r>
      <w:bookmarkEnd w:id="80"/>
      <w:bookmarkEnd w:id="81"/>
      <w:bookmarkEnd w:id="83"/>
      <w:r w:rsidRPr="00A248CC">
        <w:t xml:space="preserve"> </w:t>
      </w:r>
    </w:p>
    <w:p w14:paraId="48765C58" w14:textId="77777777" w:rsidR="00983AE6" w:rsidRPr="00CF3D5F" w:rsidRDefault="00983AE6" w:rsidP="00983AE6">
      <w:r w:rsidRPr="00CF3D5F">
        <w:t>In addition to satisfying the course provider requirements at the time of approval, an approved</w:t>
      </w:r>
      <w:r>
        <w:t xml:space="preserve"> course</w:t>
      </w:r>
      <w:r w:rsidRPr="00CF3D5F">
        <w:t xml:space="preserve"> provider must continue to meet the course provider requirements </w:t>
      </w:r>
      <w:r w:rsidRPr="00A248CC">
        <w:rPr>
          <w:rStyle w:val="ReferenceChar"/>
        </w:rPr>
        <w:t>[Act s 47(2)]</w:t>
      </w:r>
      <w:r w:rsidRPr="00EB14CD">
        <w:t>.</w:t>
      </w:r>
    </w:p>
    <w:p w14:paraId="7FC16971" w14:textId="03D6A01E" w:rsidR="00983AE6" w:rsidRPr="00CF3D5F" w:rsidRDefault="00983AE6" w:rsidP="00983AE6">
      <w:r w:rsidRPr="00CF3D5F">
        <w:t xml:space="preserve">To meet the course provider requirements a body seeking approval </w:t>
      </w:r>
      <w:r>
        <w:t>as</w:t>
      </w:r>
      <w:r w:rsidRPr="00CF3D5F">
        <w:t xml:space="preserve"> an approved </w:t>
      </w:r>
      <w:r>
        <w:t xml:space="preserve">course </w:t>
      </w:r>
      <w:r w:rsidRPr="00CF3D5F">
        <w:t xml:space="preserve">provider must meet all the following </w:t>
      </w:r>
      <w:r w:rsidRPr="00A248CC">
        <w:rPr>
          <w:rStyle w:val="ReferenceChar"/>
        </w:rPr>
        <w:t>[Act s 25]</w:t>
      </w:r>
      <w:r w:rsidRPr="00EB14CD">
        <w:t>:</w:t>
      </w:r>
    </w:p>
    <w:p w14:paraId="39F70D36" w14:textId="77777777" w:rsidR="00983AE6" w:rsidRPr="00CF3D5F" w:rsidRDefault="00983AE6" w:rsidP="00983AE6">
      <w:pPr>
        <w:pStyle w:val="ListBullet"/>
      </w:pPr>
      <w:r w:rsidRPr="00CF3D5F">
        <w:t>be a body corporate that is not a trustee;</w:t>
      </w:r>
    </w:p>
    <w:p w14:paraId="55C29F84" w14:textId="77777777" w:rsidR="00983AE6" w:rsidRPr="00CF3D5F" w:rsidRDefault="00983AE6" w:rsidP="00983AE6">
      <w:pPr>
        <w:pStyle w:val="ListBullet"/>
      </w:pPr>
      <w:r w:rsidRPr="00CF3D5F">
        <w:t>be established under the law of the Commonwealth, a State or a Territory;</w:t>
      </w:r>
    </w:p>
    <w:p w14:paraId="266E6F0F" w14:textId="77777777" w:rsidR="00983AE6" w:rsidRPr="00CF3D5F" w:rsidRDefault="00983AE6" w:rsidP="00983AE6">
      <w:pPr>
        <w:pStyle w:val="ListBullet"/>
      </w:pPr>
      <w:r w:rsidRPr="00CF3D5F">
        <w:t xml:space="preserve">carry on business in Australia and have its central management and control in Australia; </w:t>
      </w:r>
    </w:p>
    <w:p w14:paraId="75A75FB3" w14:textId="77777777" w:rsidR="00983AE6" w:rsidRPr="00CF3D5F" w:rsidRDefault="00983AE6" w:rsidP="00983AE6">
      <w:pPr>
        <w:pStyle w:val="ListBullet"/>
      </w:pPr>
      <w:r w:rsidRPr="00CF3D5F">
        <w:t xml:space="preserve">be a registered training organisation </w:t>
      </w:r>
    </w:p>
    <w:p w14:paraId="310F3A48" w14:textId="7565FAA8" w:rsidR="00983AE6" w:rsidRPr="00CF3D5F" w:rsidRDefault="00983AE6" w:rsidP="00983AE6">
      <w:pPr>
        <w:pStyle w:val="ListBullet"/>
      </w:pPr>
      <w:r w:rsidRPr="00CF3D5F">
        <w:t xml:space="preserve">meet the provider suitability requirements (see </w:t>
      </w:r>
      <w:hyperlink w:anchor="_Course_provider_requirements" w:history="1">
        <w:r w:rsidRPr="00A248CC">
          <w:rPr>
            <w:rStyle w:val="Hyperlink"/>
          </w:rPr>
          <w:t>section 4.2</w:t>
        </w:r>
      </w:hyperlink>
      <w:r w:rsidRPr="00CF3D5F">
        <w:t xml:space="preserve">) </w:t>
      </w:r>
    </w:p>
    <w:p w14:paraId="303BB77F" w14:textId="0D0FA741" w:rsidR="00983AE6" w:rsidRPr="00CF3D5F" w:rsidRDefault="00983AE6" w:rsidP="00983AE6">
      <w:pPr>
        <w:pStyle w:val="ListBullet"/>
      </w:pPr>
      <w:r w:rsidRPr="00CF3D5F">
        <w:t xml:space="preserve">be a fit and proper person (see </w:t>
      </w:r>
      <w:hyperlink w:anchor="_Fit_and_proper" w:history="1">
        <w:r w:rsidRPr="00A248CC">
          <w:rPr>
            <w:rStyle w:val="Hyperlink"/>
          </w:rPr>
          <w:t>section 4.2.</w:t>
        </w:r>
        <w:r w:rsidR="009E6E2F">
          <w:rPr>
            <w:rStyle w:val="Hyperlink"/>
          </w:rPr>
          <w:t>3.6</w:t>
        </w:r>
      </w:hyperlink>
      <w:r w:rsidRPr="00CF3D5F">
        <w:t xml:space="preserve">) </w:t>
      </w:r>
    </w:p>
    <w:p w14:paraId="7DFB46B8" w14:textId="2F773766" w:rsidR="00983AE6" w:rsidRPr="00CF3D5F" w:rsidRDefault="00983AE6" w:rsidP="00983AE6">
      <w:pPr>
        <w:pStyle w:val="ListBullet"/>
      </w:pPr>
      <w:r w:rsidRPr="00CF3D5F">
        <w:t>be a party to an approved tuition assurance arrangement (unless exempted</w:t>
      </w:r>
      <w:r w:rsidRPr="00A248CC">
        <w:rPr>
          <w:rStyle w:val="ReferenceChar"/>
        </w:rPr>
        <w:t xml:space="preserve"> [Act s 25(3)]</w:t>
      </w:r>
      <w:r w:rsidRPr="00CF3D5F">
        <w:t xml:space="preserve">) (see </w:t>
      </w:r>
      <w:hyperlink w:anchor="_Tuition_assurance_1" w:history="1">
        <w:r w:rsidRPr="00A248CC">
          <w:rPr>
            <w:rStyle w:val="Hyperlink"/>
          </w:rPr>
          <w:t>section</w:t>
        </w:r>
        <w:r w:rsidR="0044546B">
          <w:rPr>
            <w:rStyle w:val="Hyperlink"/>
          </w:rPr>
          <w:t> </w:t>
        </w:r>
        <w:r w:rsidRPr="00A248CC">
          <w:rPr>
            <w:rStyle w:val="Hyperlink"/>
          </w:rPr>
          <w:t>4.3</w:t>
        </w:r>
      </w:hyperlink>
      <w:r w:rsidRPr="00CF3D5F">
        <w:t>) and</w:t>
      </w:r>
    </w:p>
    <w:p w14:paraId="2BD4FAE7" w14:textId="350EEB29" w:rsidR="00983AE6" w:rsidRDefault="00983AE6" w:rsidP="00983AE6">
      <w:pPr>
        <w:pStyle w:val="ListBullet"/>
      </w:pPr>
      <w:r w:rsidRPr="00CF3D5F">
        <w:t xml:space="preserve">be a member of an approved external dispute resolution scheme (unless exempted </w:t>
      </w:r>
      <w:r>
        <w:t xml:space="preserve">by the Secretary </w:t>
      </w:r>
      <w:r w:rsidRPr="00A248CC">
        <w:rPr>
          <w:rStyle w:val="ReferenceChar"/>
        </w:rPr>
        <w:t>[Act s 25(3)(b)]</w:t>
      </w:r>
      <w:r w:rsidRPr="00CF3D5F">
        <w:t xml:space="preserve">) (see </w:t>
      </w:r>
      <w:hyperlink w:anchor="_4.8.9__" w:history="1">
        <w:r w:rsidR="005C3B23" w:rsidRPr="00E17D85">
          <w:rPr>
            <w:rStyle w:val="Hyperlink"/>
          </w:rPr>
          <w:t>section 4.8.9</w:t>
        </w:r>
      </w:hyperlink>
      <w:r w:rsidR="00E17D85">
        <w:rPr>
          <w:b/>
        </w:rPr>
        <w:t xml:space="preserve"> (Providers’ obligations</w:t>
      </w:r>
      <w:r w:rsidRPr="00CF3D5F">
        <w:t>)</w:t>
      </w:r>
      <w:r w:rsidR="00E17D85">
        <w:t>)</w:t>
      </w:r>
      <w:r w:rsidRPr="00CF3D5F">
        <w:t>.</w:t>
      </w:r>
    </w:p>
    <w:p w14:paraId="24AA45B6" w14:textId="21663386" w:rsidR="00983AE6" w:rsidRPr="00A248CC" w:rsidRDefault="00983AE6" w:rsidP="00A0727A">
      <w:pPr>
        <w:pStyle w:val="Heading3"/>
        <w:numPr>
          <w:ilvl w:val="2"/>
          <w:numId w:val="71"/>
        </w:numPr>
      </w:pPr>
      <w:bookmarkStart w:id="84" w:name="_Toc483222804"/>
      <w:bookmarkStart w:id="85" w:name="_Toc501621181"/>
      <w:r w:rsidRPr="00A248CC">
        <w:t>Imposition of conditions</w:t>
      </w:r>
      <w:bookmarkEnd w:id="84"/>
      <w:bookmarkEnd w:id="85"/>
    </w:p>
    <w:p w14:paraId="33413022" w14:textId="77777777" w:rsidR="00983AE6" w:rsidRPr="00736F23" w:rsidRDefault="00983AE6" w:rsidP="00983AE6">
      <w:pPr>
        <w:rPr>
          <w:rStyle w:val="ReferencesChar"/>
          <w:rFonts w:asciiTheme="minorHAnsi" w:hAnsiTheme="minorHAnsi" w:cstheme="minorHAnsi"/>
        </w:rPr>
      </w:pPr>
      <w:r w:rsidRPr="00736F23">
        <w:t xml:space="preserve">Providers must comply with any conditions imposed on the provider’s approval </w:t>
      </w:r>
      <w:r w:rsidRPr="00A248CC">
        <w:rPr>
          <w:rStyle w:val="ReferenceChar"/>
        </w:rPr>
        <w:t>[Act s 47(1)]</w:t>
      </w:r>
      <w:r w:rsidRPr="00EB14CD">
        <w:t>.</w:t>
      </w:r>
    </w:p>
    <w:p w14:paraId="66E05A19" w14:textId="77777777" w:rsidR="00983AE6" w:rsidRPr="00736F23" w:rsidRDefault="00983AE6" w:rsidP="00983AE6">
      <w:r w:rsidRPr="00736F23">
        <w:t>Conditions may be imposed for a variety of reasons, including the management of particular risks posed by a provider.</w:t>
      </w:r>
    </w:p>
    <w:p w14:paraId="47ED5171" w14:textId="0B7CA141" w:rsidR="00983AE6" w:rsidRDefault="00983AE6" w:rsidP="00983AE6">
      <w:r>
        <w:t xml:space="preserve">Further, the VET Student Loans program has a </w:t>
      </w:r>
      <w:r w:rsidR="00454ED5">
        <w:t>cap on the total amount of VET S</w:t>
      </w:r>
      <w:r>
        <w:t xml:space="preserve">tudent </w:t>
      </w:r>
      <w:r w:rsidR="00454ED5">
        <w:t>L</w:t>
      </w:r>
      <w:r>
        <w:t>oans that can be approved in a calendar year</w:t>
      </w:r>
      <w:r w:rsidRPr="00A248CC">
        <w:rPr>
          <w:rStyle w:val="ReferenceChar"/>
        </w:rPr>
        <w:t xml:space="preserve"> [Rules s 155]</w:t>
      </w:r>
      <w:r w:rsidRPr="00EB14CD">
        <w:t>.</w:t>
      </w:r>
      <w:r>
        <w:t xml:space="preserve"> To manage this, all providers have conditions imposed on them </w:t>
      </w:r>
      <w:r w:rsidRPr="00736F23">
        <w:t>capping the</w:t>
      </w:r>
      <w:r>
        <w:t xml:space="preserve"> total amount of </w:t>
      </w:r>
      <w:r w:rsidR="00454ED5">
        <w:t>VET Student Loans</w:t>
      </w:r>
      <w:r w:rsidRPr="00736F23">
        <w:t xml:space="preserve"> that may be paid to the</w:t>
      </w:r>
      <w:r>
        <w:t>m in a year or period</w:t>
      </w:r>
      <w:r w:rsidR="0044546B">
        <w:t xml:space="preserve"> (provider fee limit)</w:t>
      </w:r>
      <w:r>
        <w:t>. Some providers may also have a condition imposing caps on the loan amounts that may be paid to them, for particular courses</w:t>
      </w:r>
      <w:r w:rsidR="0044546B">
        <w:t xml:space="preserve"> (provider course fee limits)</w:t>
      </w:r>
      <w:r>
        <w:t>.</w:t>
      </w:r>
    </w:p>
    <w:p w14:paraId="765A2627" w14:textId="77777777" w:rsidR="00B337F5" w:rsidRDefault="00B337F5">
      <w:pPr>
        <w:spacing w:line="276" w:lineRule="auto"/>
        <w:rPr>
          <w:rFonts w:ascii="Calibri" w:eastAsiaTheme="majorEastAsia" w:hAnsi="Calibri" w:cstheme="majorBidi"/>
          <w:b/>
          <w:bCs/>
          <w:color w:val="292065"/>
          <w:sz w:val="28"/>
          <w:szCs w:val="26"/>
        </w:rPr>
      </w:pPr>
      <w:bookmarkStart w:id="86" w:name="_Toc471374343"/>
      <w:bookmarkStart w:id="87" w:name="_Toc477960019"/>
      <w:bookmarkStart w:id="88" w:name="_Toc483222805"/>
      <w:r>
        <w:br w:type="page"/>
      </w:r>
    </w:p>
    <w:p w14:paraId="7B7698A8" w14:textId="5872B29E" w:rsidR="00983AE6" w:rsidRPr="00D32A6B" w:rsidRDefault="00983AE6" w:rsidP="00A0727A">
      <w:pPr>
        <w:pStyle w:val="Heading3"/>
        <w:numPr>
          <w:ilvl w:val="2"/>
          <w:numId w:val="71"/>
        </w:numPr>
      </w:pPr>
      <w:bookmarkStart w:id="89" w:name="_Toc501621182"/>
      <w:r w:rsidRPr="00D32A6B">
        <w:lastRenderedPageBreak/>
        <w:t>Provider suitability requirements</w:t>
      </w:r>
      <w:bookmarkEnd w:id="86"/>
      <w:bookmarkEnd w:id="87"/>
      <w:bookmarkEnd w:id="88"/>
      <w:bookmarkEnd w:id="89"/>
    </w:p>
    <w:p w14:paraId="0FCB53DA" w14:textId="77777777" w:rsidR="00983AE6" w:rsidRPr="00736F23" w:rsidRDefault="00983AE6" w:rsidP="00983AE6">
      <w:pPr>
        <w:rPr>
          <w:rStyle w:val="ReferencesChar"/>
          <w:rFonts w:asciiTheme="minorHAnsi" w:hAnsiTheme="minorHAnsi" w:cstheme="minorHAnsi"/>
        </w:rPr>
      </w:pPr>
      <w:r w:rsidRPr="00736F23">
        <w:t xml:space="preserve">In addition to satisfying the </w:t>
      </w:r>
      <w:r>
        <w:t xml:space="preserve">provider </w:t>
      </w:r>
      <w:r w:rsidRPr="00736F23">
        <w:t xml:space="preserve">suitability requirements at the time of approval, an approved </w:t>
      </w:r>
      <w:r>
        <w:t xml:space="preserve">course </w:t>
      </w:r>
      <w:r w:rsidRPr="00736F23">
        <w:t>provider must continue to meet the</w:t>
      </w:r>
      <w:r>
        <w:t>se</w:t>
      </w:r>
      <w:r w:rsidRPr="00736F23">
        <w:t xml:space="preserve"> requirements </w:t>
      </w:r>
      <w:r w:rsidRPr="00A248CC">
        <w:rPr>
          <w:rStyle w:val="ReferenceChar"/>
        </w:rPr>
        <w:t>[Act s 47(2)]</w:t>
      </w:r>
      <w:r w:rsidRPr="00EB14CD">
        <w:t>.</w:t>
      </w:r>
    </w:p>
    <w:p w14:paraId="065C9E8D" w14:textId="77777777" w:rsidR="00983AE6" w:rsidRDefault="00983AE6" w:rsidP="00983AE6">
      <w:r w:rsidRPr="00736F23">
        <w:t>The purpose of the provider suitability requirements is to ensure that only quality providers participate in V</w:t>
      </w:r>
      <w:r>
        <w:t xml:space="preserve">ET </w:t>
      </w:r>
      <w:r w:rsidRPr="00736F23">
        <w:t>S</w:t>
      </w:r>
      <w:r>
        <w:t xml:space="preserve">tudent </w:t>
      </w:r>
      <w:r w:rsidRPr="00736F23">
        <w:t>L</w:t>
      </w:r>
      <w:r>
        <w:t>oans</w:t>
      </w:r>
      <w:r w:rsidRPr="00736F23">
        <w:t>. An overview of these requirements is set out below.</w:t>
      </w:r>
    </w:p>
    <w:p w14:paraId="3DCED09F" w14:textId="0E334597" w:rsidR="00983AE6" w:rsidRPr="00A248CC" w:rsidRDefault="00983AE6" w:rsidP="00A0727A">
      <w:pPr>
        <w:pStyle w:val="Heading3"/>
        <w:numPr>
          <w:ilvl w:val="3"/>
          <w:numId w:val="71"/>
        </w:numPr>
      </w:pPr>
      <w:bookmarkStart w:id="90" w:name="_Toc471374344"/>
      <w:bookmarkStart w:id="91" w:name="_Toc483222806"/>
      <w:bookmarkStart w:id="92" w:name="_Toc501621183"/>
      <w:r w:rsidRPr="00A248CC">
        <w:t>General requirements</w:t>
      </w:r>
      <w:bookmarkEnd w:id="90"/>
      <w:bookmarkEnd w:id="91"/>
      <w:bookmarkEnd w:id="92"/>
      <w:r w:rsidRPr="00A248CC">
        <w:t xml:space="preserve"> </w:t>
      </w:r>
    </w:p>
    <w:p w14:paraId="42263B47" w14:textId="77777777" w:rsidR="00983AE6" w:rsidRPr="00736F23" w:rsidRDefault="00983AE6" w:rsidP="00983AE6">
      <w:r w:rsidRPr="00736F23">
        <w:t xml:space="preserve">An approved </w:t>
      </w:r>
      <w:r>
        <w:t xml:space="preserve">course </w:t>
      </w:r>
      <w:r w:rsidRPr="00736F23">
        <w:t xml:space="preserve">provider must: </w:t>
      </w:r>
    </w:p>
    <w:p w14:paraId="4FBCF2A0" w14:textId="77777777" w:rsidR="00983AE6" w:rsidRPr="00736F23" w:rsidRDefault="00983AE6" w:rsidP="00983AE6">
      <w:pPr>
        <w:pStyle w:val="ListBullet"/>
      </w:pPr>
      <w:r w:rsidRPr="00736F23">
        <w:t>be committed to</w:t>
      </w:r>
      <w:r>
        <w:t xml:space="preserve"> delivery of</w:t>
      </w:r>
      <w:r w:rsidRPr="00736F23">
        <w:t xml:space="preserve"> high quality vocational</w:t>
      </w:r>
      <w:r>
        <w:t xml:space="preserve"> education and</w:t>
      </w:r>
      <w:r w:rsidRPr="00736F23">
        <w:t xml:space="preserve"> training and achieving best outcomes for students</w:t>
      </w:r>
    </w:p>
    <w:p w14:paraId="1EB4CA2E" w14:textId="77777777" w:rsidR="00983AE6" w:rsidRPr="00736F23" w:rsidRDefault="00983AE6" w:rsidP="00983AE6">
      <w:pPr>
        <w:pStyle w:val="ListBullet"/>
      </w:pPr>
      <w:r w:rsidRPr="00736F23">
        <w:t>act efficiently, honestly and fairly in all dealings</w:t>
      </w:r>
      <w:r>
        <w:t xml:space="preserve"> with</w:t>
      </w:r>
      <w:r w:rsidRPr="00736F23">
        <w:t xml:space="preserve"> students</w:t>
      </w:r>
      <w:r>
        <w:t xml:space="preserve">, </w:t>
      </w:r>
      <w:r w:rsidRPr="00736F23">
        <w:t>stakeholders</w:t>
      </w:r>
      <w:r>
        <w:t xml:space="preserve"> and </w:t>
      </w:r>
      <w:r w:rsidRPr="00736F23">
        <w:t>the Commonwealth</w:t>
      </w:r>
      <w:r>
        <w:t>, including the</w:t>
      </w:r>
      <w:r w:rsidRPr="00736F23">
        <w:t xml:space="preserve"> National VET Regulator</w:t>
      </w:r>
    </w:p>
    <w:p w14:paraId="18BD0953" w14:textId="77777777" w:rsidR="00983AE6" w:rsidRPr="00A248CC" w:rsidRDefault="00983AE6" w:rsidP="00983AE6">
      <w:pPr>
        <w:pStyle w:val="ListBullet"/>
        <w:rPr>
          <w:rStyle w:val="ReferenceChar"/>
          <w:b w:val="0"/>
          <w:color w:val="auto"/>
          <w:sz w:val="20"/>
        </w:rPr>
      </w:pPr>
      <w:r w:rsidRPr="00736F23">
        <w:t xml:space="preserve">have a record of satisfactory conduct in relation to the provision of previous vocational education and training for which the Commonwealth, a State or Territory provided funding </w:t>
      </w:r>
      <w:r w:rsidRPr="00A248CC">
        <w:rPr>
          <w:rStyle w:val="ReferenceChar"/>
        </w:rPr>
        <w:t>[Rules s 22]</w:t>
      </w:r>
      <w:r w:rsidRPr="00EB14CD">
        <w:t>.</w:t>
      </w:r>
    </w:p>
    <w:p w14:paraId="271B7AFD" w14:textId="63B234E0" w:rsidR="00983AE6" w:rsidRPr="00A248CC" w:rsidRDefault="00983AE6" w:rsidP="00A0727A">
      <w:pPr>
        <w:pStyle w:val="Heading3"/>
        <w:numPr>
          <w:ilvl w:val="3"/>
          <w:numId w:val="71"/>
        </w:numPr>
      </w:pPr>
      <w:bookmarkStart w:id="93" w:name="_Toc471374345"/>
      <w:bookmarkStart w:id="94" w:name="_Toc483222807"/>
      <w:bookmarkStart w:id="95" w:name="_Toc501621184"/>
      <w:r w:rsidRPr="00A248CC">
        <w:t>Financial performance</w:t>
      </w:r>
      <w:bookmarkEnd w:id="93"/>
      <w:bookmarkEnd w:id="94"/>
      <w:bookmarkEnd w:id="95"/>
      <w:r w:rsidRPr="00A248CC">
        <w:t xml:space="preserve"> </w:t>
      </w:r>
    </w:p>
    <w:p w14:paraId="6449FA79" w14:textId="77777777" w:rsidR="00983AE6" w:rsidRPr="00736F23" w:rsidRDefault="00983AE6" w:rsidP="00983AE6">
      <w:pPr>
        <w:rPr>
          <w:sz w:val="20"/>
          <w:szCs w:val="20"/>
        </w:rPr>
      </w:pPr>
      <w:r w:rsidRPr="00736F23">
        <w:t>A provider must be financially viable and be able to pay its debts as and when they are due and payable</w:t>
      </w:r>
      <w:r w:rsidRPr="00736F23">
        <w:rPr>
          <w:sz w:val="20"/>
          <w:szCs w:val="20"/>
        </w:rPr>
        <w:t xml:space="preserve"> </w:t>
      </w:r>
      <w:r w:rsidRPr="00A248CC">
        <w:rPr>
          <w:rStyle w:val="ReferenceChar"/>
        </w:rPr>
        <w:t>[Rules s 23]</w:t>
      </w:r>
      <w:r w:rsidRPr="00EB14CD">
        <w:t>.</w:t>
      </w:r>
    </w:p>
    <w:p w14:paraId="051AE780" w14:textId="77777777" w:rsidR="00983AE6" w:rsidRPr="00736F23" w:rsidRDefault="00983AE6" w:rsidP="00983AE6">
      <w:r w:rsidRPr="00736F23">
        <w:t xml:space="preserve">The department takes into account a range of information when considering whether the provider continues to be financially viable.  </w:t>
      </w:r>
    </w:p>
    <w:p w14:paraId="742FD06B" w14:textId="77777777" w:rsidR="00983AE6" w:rsidRPr="00736F23" w:rsidRDefault="00983AE6" w:rsidP="00983AE6">
      <w:r>
        <w:t>When it applies for approval initially, t</w:t>
      </w:r>
      <w:r w:rsidRPr="00736F23">
        <w:t>he provider must submit sufficient information to assist the Minister in assessing the level of risk associated with its financial viability. This information should include audited financial statements.</w:t>
      </w:r>
    </w:p>
    <w:p w14:paraId="695B9E8A" w14:textId="739BBF35" w:rsidR="00983AE6" w:rsidRPr="00736F23" w:rsidRDefault="00983AE6" w:rsidP="00983AE6">
      <w:pPr>
        <w:rPr>
          <w:sz w:val="20"/>
          <w:szCs w:val="20"/>
        </w:rPr>
      </w:pPr>
      <w:r>
        <w:t>Subsequently, a</w:t>
      </w:r>
      <w:r w:rsidRPr="00736F23">
        <w:t xml:space="preserve"> provider must provide</w:t>
      </w:r>
      <w:r>
        <w:t>,</w:t>
      </w:r>
      <w:r w:rsidRPr="00736F23">
        <w:t xml:space="preserve"> annually</w:t>
      </w:r>
      <w:r>
        <w:t>,</w:t>
      </w:r>
      <w:r w:rsidRPr="00736F23">
        <w:t xml:space="preserve"> accurate financial statements prepared by an independent qualified auditor in accordance with current accounting standards set by the Australian Accounting Standards Board</w:t>
      </w:r>
      <w:r w:rsidR="0044546B">
        <w:t xml:space="preserve"> (refer </w:t>
      </w:r>
      <w:hyperlink w:anchor="_4.4.4__" w:history="1">
        <w:r w:rsidR="0044546B" w:rsidRPr="00E17D85">
          <w:rPr>
            <w:rStyle w:val="Hyperlink"/>
          </w:rPr>
          <w:t>section 4.4.4</w:t>
        </w:r>
      </w:hyperlink>
      <w:r w:rsidR="0044546B">
        <w:t>)</w:t>
      </w:r>
      <w:r w:rsidRPr="00736F23">
        <w:rPr>
          <w:sz w:val="20"/>
        </w:rPr>
        <w:t>.</w:t>
      </w:r>
      <w:r w:rsidRPr="00736F23">
        <w:rPr>
          <w:sz w:val="20"/>
          <w:szCs w:val="20"/>
        </w:rPr>
        <w:t xml:space="preserve"> </w:t>
      </w:r>
    </w:p>
    <w:p w14:paraId="7ADE1621" w14:textId="77777777" w:rsidR="00983AE6" w:rsidRPr="00736F23" w:rsidRDefault="00983AE6" w:rsidP="00983AE6">
      <w:r w:rsidRPr="00736F23">
        <w:t>Indicators of financial viability are</w:t>
      </w:r>
      <w:r>
        <w:t xml:space="preserve"> </w:t>
      </w:r>
      <w:r w:rsidRPr="00A248CC">
        <w:rPr>
          <w:rStyle w:val="ReferenceChar"/>
        </w:rPr>
        <w:t>[Rules s 23(3)]</w:t>
      </w:r>
      <w:r w:rsidRPr="00736F23">
        <w:t xml:space="preserve">: </w:t>
      </w:r>
    </w:p>
    <w:p w14:paraId="3503F5D0" w14:textId="77777777" w:rsidR="00983AE6" w:rsidRPr="00736F23" w:rsidRDefault="00983AE6" w:rsidP="00983AE6">
      <w:pPr>
        <w:pStyle w:val="ListBullet"/>
      </w:pPr>
      <w:r>
        <w:t>t</w:t>
      </w:r>
      <w:r w:rsidRPr="00736F23">
        <w:t>he provider generated sufficient income to meet operating payments and debt commitments and allow growth.</w:t>
      </w:r>
    </w:p>
    <w:p w14:paraId="73F9EFEC" w14:textId="77777777" w:rsidR="00983AE6" w:rsidRPr="00736F23" w:rsidRDefault="00983AE6" w:rsidP="00983AE6">
      <w:pPr>
        <w:pStyle w:val="ListBullet"/>
      </w:pPr>
      <w:r>
        <w:t>t</w:t>
      </w:r>
      <w:r w:rsidRPr="00736F23">
        <w:t>he provider maintains a positive equity position</w:t>
      </w:r>
      <w:r>
        <w:t xml:space="preserve"> and there is no evidence to suggest that this might change</w:t>
      </w:r>
      <w:r w:rsidRPr="00736F23">
        <w:t>.</w:t>
      </w:r>
    </w:p>
    <w:p w14:paraId="567615E3" w14:textId="77777777" w:rsidR="00983AE6" w:rsidRPr="00736F23" w:rsidRDefault="00983AE6" w:rsidP="00983AE6">
      <w:pPr>
        <w:pStyle w:val="ListBullet"/>
      </w:pPr>
      <w:r>
        <w:t>i</w:t>
      </w:r>
      <w:r w:rsidRPr="00736F23">
        <w:t>f the provider has been operating for 3 or more years and is not a charitable or not-for-profit organisation registered with the Australian Charities and Not</w:t>
      </w:r>
      <w:r w:rsidRPr="00736F23">
        <w:noBreakHyphen/>
        <w:t>for</w:t>
      </w:r>
      <w:r w:rsidRPr="00736F23">
        <w:noBreakHyphen/>
        <w:t>profits Commission</w:t>
      </w:r>
      <w:r>
        <w:t xml:space="preserve"> –</w:t>
      </w:r>
      <w:r w:rsidRPr="00736F23">
        <w:t xml:space="preserve"> </w:t>
      </w:r>
      <w:r>
        <w:t xml:space="preserve">it </w:t>
      </w:r>
      <w:r w:rsidRPr="00736F23">
        <w:t>must have operated at a profit for at least 2 of the 3 most recent financial years.</w:t>
      </w:r>
    </w:p>
    <w:p w14:paraId="0B3287B3" w14:textId="77777777" w:rsidR="00983AE6" w:rsidRPr="00736F23" w:rsidRDefault="00983AE6" w:rsidP="00983AE6">
      <w:pPr>
        <w:pStyle w:val="ListBullet"/>
      </w:pPr>
      <w:r>
        <w:t>i</w:t>
      </w:r>
      <w:r w:rsidRPr="00736F23">
        <w:t>f the provider had at least 100 enrolments in courses leading to awards of qualifications in the Australian Qualifications Framework</w:t>
      </w:r>
      <w:r>
        <w:t xml:space="preserve"> –</w:t>
      </w:r>
      <w:r w:rsidRPr="00736F23">
        <w:t xml:space="preserve"> at</w:t>
      </w:r>
      <w:r>
        <w:t xml:space="preserve"> </w:t>
      </w:r>
      <w:r w:rsidRPr="00736F23">
        <w:t xml:space="preserve">least 20 per cent of its total revenue for that </w:t>
      </w:r>
      <w:r>
        <w:t>previous financial year came</w:t>
      </w:r>
      <w:r w:rsidRPr="00736F23">
        <w:t xml:space="preserve"> from sources other than payments of Commonwealth assistance that gave rise to HELP debts.</w:t>
      </w:r>
    </w:p>
    <w:p w14:paraId="2C8C9686" w14:textId="77777777" w:rsidR="00983AE6" w:rsidRPr="00736F23" w:rsidRDefault="00983AE6" w:rsidP="00983AE6">
      <w:pPr>
        <w:pStyle w:val="ListBullet"/>
      </w:pPr>
      <w:r>
        <w:t>t</w:t>
      </w:r>
      <w:r w:rsidRPr="00736F23">
        <w:t>he provider has a net positive operating cash position from operating activities determined in accordance with accounting standards.</w:t>
      </w:r>
    </w:p>
    <w:p w14:paraId="28776ADF" w14:textId="77777777" w:rsidR="00983AE6" w:rsidRPr="00736F23" w:rsidRDefault="00983AE6" w:rsidP="00983AE6">
      <w:pPr>
        <w:pStyle w:val="ListBullet"/>
      </w:pPr>
      <w:r>
        <w:t>t</w:t>
      </w:r>
      <w:r w:rsidRPr="00736F23">
        <w:t xml:space="preserve">he provider is not providing guarantees, or loans, that could have a material effect on the provider’s finances. </w:t>
      </w:r>
    </w:p>
    <w:p w14:paraId="084BBED6" w14:textId="77777777" w:rsidR="00983AE6" w:rsidRPr="00736F23" w:rsidRDefault="00983AE6" w:rsidP="00983AE6">
      <w:pPr>
        <w:pStyle w:val="ListBullet"/>
      </w:pPr>
      <w:r>
        <w:t>t</w:t>
      </w:r>
      <w:r w:rsidRPr="00736F23">
        <w:t xml:space="preserve">he provider is not offering its assets as security other than under a commercial loan arrangement with an </w:t>
      </w:r>
      <w:r>
        <w:t>ADI</w:t>
      </w:r>
      <w:r w:rsidRPr="00736F23">
        <w:t>.</w:t>
      </w:r>
    </w:p>
    <w:p w14:paraId="5CE4D8B4" w14:textId="77777777" w:rsidR="007C798E" w:rsidRDefault="007C798E">
      <w:pPr>
        <w:spacing w:line="276" w:lineRule="auto"/>
        <w:rPr>
          <w:rFonts w:ascii="Calibri" w:eastAsiaTheme="majorEastAsia" w:hAnsi="Calibri" w:cstheme="majorBidi"/>
          <w:b/>
          <w:bCs/>
          <w:i/>
          <w:iCs/>
        </w:rPr>
      </w:pPr>
      <w:bookmarkStart w:id="96" w:name="_Toc471374346"/>
      <w:bookmarkStart w:id="97" w:name="_Toc481505153"/>
      <w:bookmarkStart w:id="98" w:name="_Toc483209465"/>
      <w:r>
        <w:br w:type="page"/>
      </w:r>
    </w:p>
    <w:p w14:paraId="525A5DBC" w14:textId="77777777" w:rsidR="00983AE6" w:rsidRPr="00C0519F" w:rsidRDefault="00983AE6" w:rsidP="00994F23">
      <w:pPr>
        <w:pStyle w:val="Heading5"/>
      </w:pPr>
      <w:r w:rsidRPr="00C0519F">
        <w:lastRenderedPageBreak/>
        <w:t>Dividends and related party transactions</w:t>
      </w:r>
      <w:bookmarkEnd w:id="96"/>
      <w:bookmarkEnd w:id="97"/>
      <w:bookmarkEnd w:id="98"/>
      <w:r w:rsidRPr="00C0519F">
        <w:t xml:space="preserve"> </w:t>
      </w:r>
    </w:p>
    <w:p w14:paraId="6FCAE829" w14:textId="77777777" w:rsidR="00983AE6" w:rsidRPr="00736F23" w:rsidRDefault="00983AE6" w:rsidP="00983AE6">
      <w:r w:rsidRPr="00736F23">
        <w:t>A provider’s dividend distributions during a financial year must not exceed the provider’s after tax profit for the previous financial year.</w:t>
      </w:r>
    </w:p>
    <w:p w14:paraId="56395831" w14:textId="77777777" w:rsidR="00983AE6" w:rsidRPr="00D123AE" w:rsidRDefault="00983AE6" w:rsidP="00983AE6">
      <w:pPr>
        <w:rPr>
          <w:sz w:val="20"/>
          <w:szCs w:val="20"/>
        </w:rPr>
      </w:pPr>
      <w:r w:rsidRPr="00736F23">
        <w:t>The provider’s payments to key personnel and related parties for the provision of goods or services during a financial year must only be for goods and services that are reasonably necessary for the operations of the provider and on terms that comply with the accounting standards, including in relation to arm’s length transactions</w:t>
      </w:r>
      <w:r w:rsidRPr="00736F23">
        <w:rPr>
          <w:sz w:val="20"/>
          <w:szCs w:val="20"/>
        </w:rPr>
        <w:t xml:space="preserve"> </w:t>
      </w:r>
      <w:r w:rsidRPr="004B0026">
        <w:rPr>
          <w:rStyle w:val="ReferenceChar"/>
        </w:rPr>
        <w:t>[Rules s 24]</w:t>
      </w:r>
      <w:bookmarkStart w:id="99" w:name="_Toc471374347"/>
      <w:bookmarkStart w:id="100" w:name="_Toc481505154"/>
      <w:bookmarkStart w:id="101" w:name="_Toc483209466"/>
      <w:r>
        <w:rPr>
          <w:sz w:val="20"/>
          <w:szCs w:val="20"/>
        </w:rPr>
        <w:t>.</w:t>
      </w:r>
    </w:p>
    <w:p w14:paraId="70F92DD5" w14:textId="77777777" w:rsidR="00983AE6" w:rsidRPr="00C0519F" w:rsidRDefault="00983AE6" w:rsidP="00994F23">
      <w:pPr>
        <w:pStyle w:val="Heading5"/>
      </w:pPr>
      <w:r w:rsidRPr="00C0519F">
        <w:t>Insurance</w:t>
      </w:r>
      <w:bookmarkEnd w:id="99"/>
      <w:bookmarkEnd w:id="100"/>
      <w:bookmarkEnd w:id="101"/>
      <w:r w:rsidRPr="00C0519F">
        <w:t xml:space="preserve"> </w:t>
      </w:r>
    </w:p>
    <w:p w14:paraId="22604303" w14:textId="77777777" w:rsidR="00983AE6" w:rsidRDefault="00983AE6" w:rsidP="00983AE6">
      <w:pPr>
        <w:rPr>
          <w:sz w:val="20"/>
          <w:szCs w:val="20"/>
        </w:rPr>
      </w:pPr>
      <w:r w:rsidRPr="00736F23">
        <w:t>The provider must have workers’ compensation insurance</w:t>
      </w:r>
      <w:r>
        <w:t xml:space="preserve"> as required by law</w:t>
      </w:r>
      <w:r w:rsidRPr="00736F23">
        <w:t xml:space="preserve"> and adequate public liability insurance </w:t>
      </w:r>
      <w:r w:rsidRPr="004B0026">
        <w:rPr>
          <w:rStyle w:val="ReferenceChar"/>
        </w:rPr>
        <w:t>[Rules s 25]</w:t>
      </w:r>
      <w:r w:rsidRPr="00736F23">
        <w:rPr>
          <w:sz w:val="20"/>
          <w:szCs w:val="20"/>
        </w:rPr>
        <w:t xml:space="preserve">.  </w:t>
      </w:r>
    </w:p>
    <w:p w14:paraId="61F77CAA" w14:textId="77777777" w:rsidR="00983AE6" w:rsidRPr="002B0FA2" w:rsidRDefault="00983AE6" w:rsidP="00983AE6">
      <w:r w:rsidRPr="002B0FA2">
        <w:t>These insurance requirements are necessary to ensure that an approved course provider has adequate financial resources to respond to and handle claims against it relating to workers’ compensation and public liability. In the event that the total liability incurred by the provider under such a claim exceeds the amount for which they are insured, then the provider will be liable to pay the balance of the liability out of its own resources.</w:t>
      </w:r>
    </w:p>
    <w:p w14:paraId="6E7676E6" w14:textId="77777777" w:rsidR="00983AE6" w:rsidRPr="002B0FA2" w:rsidRDefault="00983AE6" w:rsidP="00983AE6">
      <w:r w:rsidRPr="002B0FA2">
        <w:t>If the provider has in place workers’ compensation insurance as required by the laws of each state and territory in which it has workers, it will meet th</w:t>
      </w:r>
      <w:r>
        <w:t>e workers’ compensation insurance</w:t>
      </w:r>
      <w:r w:rsidRPr="002B0FA2">
        <w:t xml:space="preserve"> requirement.</w:t>
      </w:r>
    </w:p>
    <w:p w14:paraId="51BC3A08" w14:textId="77777777" w:rsidR="00983AE6" w:rsidRPr="002B0FA2" w:rsidRDefault="00983AE6" w:rsidP="00983AE6">
      <w:r w:rsidRPr="002B0FA2">
        <w:t>The level of public liability insurance that is adequate for a provider to hold needs to be determined by the provider</w:t>
      </w:r>
      <w:r w:rsidRPr="00E11044">
        <w:t xml:space="preserve"> itself</w:t>
      </w:r>
      <w:r w:rsidRPr="00A968FC">
        <w:t xml:space="preserve"> </w:t>
      </w:r>
      <w:r w:rsidRPr="002B0FA2">
        <w:t>after an assessment by it of its risk exposure. Providers are best placed to conduct this assessment.</w:t>
      </w:r>
      <w:r>
        <w:t xml:space="preserve"> </w:t>
      </w:r>
    </w:p>
    <w:p w14:paraId="3D0B3513" w14:textId="61AC1591" w:rsidR="00983AE6" w:rsidRPr="000A56C4" w:rsidRDefault="00983AE6" w:rsidP="00A0727A">
      <w:pPr>
        <w:pStyle w:val="Heading3"/>
        <w:numPr>
          <w:ilvl w:val="3"/>
          <w:numId w:val="71"/>
        </w:numPr>
      </w:pPr>
      <w:bookmarkStart w:id="102" w:name="_4.2.3__"/>
      <w:bookmarkStart w:id="103" w:name="_Toc471374349"/>
      <w:bookmarkStart w:id="104" w:name="_Toc483222808"/>
      <w:bookmarkStart w:id="105" w:name="_Toc501621185"/>
      <w:bookmarkEnd w:id="102"/>
      <w:r w:rsidRPr="000A56C4">
        <w:t>Management and governance</w:t>
      </w:r>
      <w:bookmarkEnd w:id="103"/>
      <w:bookmarkEnd w:id="104"/>
      <w:bookmarkEnd w:id="105"/>
      <w:r w:rsidRPr="000A56C4">
        <w:t xml:space="preserve"> </w:t>
      </w:r>
    </w:p>
    <w:p w14:paraId="71FFF084" w14:textId="77777777" w:rsidR="00983AE6" w:rsidRPr="00736F23" w:rsidRDefault="00983AE6" w:rsidP="00983AE6">
      <w:r w:rsidRPr="00736F23">
        <w:t xml:space="preserve">Providers must have robust and appropriate management and governance structures. </w:t>
      </w:r>
    </w:p>
    <w:p w14:paraId="02BAF743" w14:textId="77777777" w:rsidR="00983AE6" w:rsidRPr="00C0519F" w:rsidRDefault="00983AE6" w:rsidP="00994F23">
      <w:pPr>
        <w:pStyle w:val="Heading5"/>
      </w:pPr>
      <w:bookmarkStart w:id="106" w:name="_Toc481505156"/>
      <w:bookmarkStart w:id="107" w:name="_Toc483209468"/>
      <w:r w:rsidRPr="00C0519F">
        <w:t>Processes and resources</w:t>
      </w:r>
      <w:bookmarkEnd w:id="106"/>
      <w:bookmarkEnd w:id="107"/>
    </w:p>
    <w:p w14:paraId="59AC69D4" w14:textId="77777777" w:rsidR="00983AE6" w:rsidRPr="00736F23" w:rsidRDefault="00983AE6" w:rsidP="00983AE6">
      <w:r w:rsidRPr="00736F23">
        <w:t>Providers must:</w:t>
      </w:r>
    </w:p>
    <w:p w14:paraId="4664D577" w14:textId="77777777" w:rsidR="00983AE6" w:rsidRPr="00736F23" w:rsidRDefault="00983AE6" w:rsidP="00983AE6">
      <w:pPr>
        <w:pStyle w:val="ListBullet"/>
      </w:pPr>
      <w:r w:rsidRPr="00736F23">
        <w:t xml:space="preserve">have clearly defined decision-making processes that ensure accountability for decisions and actions; </w:t>
      </w:r>
    </w:p>
    <w:p w14:paraId="255E12D8" w14:textId="77777777" w:rsidR="00983AE6" w:rsidRPr="00736F23" w:rsidRDefault="00983AE6" w:rsidP="00983AE6">
      <w:pPr>
        <w:pStyle w:val="ListBullet"/>
      </w:pPr>
      <w:r w:rsidRPr="00736F23">
        <w:t xml:space="preserve">have the resources necessary to support employees and students </w:t>
      </w:r>
    </w:p>
    <w:p w14:paraId="2505AF6E" w14:textId="0B8F26BF" w:rsidR="00983AE6" w:rsidRPr="00736F23" w:rsidRDefault="00983AE6" w:rsidP="00983AE6">
      <w:pPr>
        <w:pStyle w:val="ListBullet"/>
      </w:pPr>
      <w:r w:rsidRPr="00736F23">
        <w:t>have systems in place to maint</w:t>
      </w:r>
      <w:r w:rsidR="0044546B">
        <w:t>ain student records, ensure data</w:t>
      </w:r>
      <w:r w:rsidRPr="00736F23">
        <w:t xml:space="preserve"> integrity and report data consistently, accurately and on time to the department </w:t>
      </w:r>
      <w:r w:rsidRPr="00230B77">
        <w:rPr>
          <w:rStyle w:val="ReferenceChar"/>
        </w:rPr>
        <w:t>[Rules s 26]</w:t>
      </w:r>
      <w:r>
        <w:t xml:space="preserve"> </w:t>
      </w:r>
    </w:p>
    <w:p w14:paraId="6627C2F6" w14:textId="77777777" w:rsidR="00983AE6" w:rsidRDefault="00983AE6" w:rsidP="00983AE6">
      <w:pPr>
        <w:pStyle w:val="ListBullet"/>
      </w:pPr>
      <w:r w:rsidRPr="00736F23">
        <w:t>have the organisational capacity and administrative resources to ensure it meets its</w:t>
      </w:r>
      <w:r w:rsidRPr="00736F23">
        <w:rPr>
          <w:sz w:val="20"/>
        </w:rPr>
        <w:t xml:space="preserve"> </w:t>
      </w:r>
      <w:r w:rsidRPr="00736F23">
        <w:t>responsibilities under the relevant laws</w:t>
      </w:r>
      <w:r>
        <w:t xml:space="preserve"> and reviews on a regular basis its compliance with, and effectiveness of its operations in relation to, those laws</w:t>
      </w:r>
      <w:r w:rsidRPr="00736F23">
        <w:t xml:space="preserve"> </w:t>
      </w:r>
      <w:r w:rsidRPr="00230B77">
        <w:rPr>
          <w:rStyle w:val="ReferenceChar"/>
        </w:rPr>
        <w:t>[Rules s 29]</w:t>
      </w:r>
    </w:p>
    <w:p w14:paraId="1E6F3375" w14:textId="77777777" w:rsidR="00983AE6" w:rsidRPr="00736F23" w:rsidRDefault="00983AE6" w:rsidP="00983AE6">
      <w:pPr>
        <w:pStyle w:val="ListBullet"/>
      </w:pPr>
      <w:r>
        <w:t xml:space="preserve">comply with the processes and procedures outlined at </w:t>
      </w:r>
      <w:hyperlink w:anchor="_Toc471300247" w:history="1">
        <w:r w:rsidRPr="00230B77">
          <w:rPr>
            <w:rStyle w:val="Hyperlink"/>
          </w:rPr>
          <w:t>section 4.8</w:t>
        </w:r>
      </w:hyperlink>
      <w:r>
        <w:t>.</w:t>
      </w:r>
    </w:p>
    <w:p w14:paraId="2B15CC0C" w14:textId="77777777" w:rsidR="00983AE6" w:rsidRPr="00C0519F" w:rsidRDefault="00983AE6" w:rsidP="00994F23">
      <w:pPr>
        <w:pStyle w:val="Heading5"/>
      </w:pPr>
      <w:bookmarkStart w:id="108" w:name="_Toc481505157"/>
      <w:bookmarkStart w:id="109" w:name="_Toc483209469"/>
      <w:r w:rsidRPr="00C0519F">
        <w:t>Staffing</w:t>
      </w:r>
      <w:bookmarkEnd w:id="108"/>
      <w:bookmarkEnd w:id="109"/>
    </w:p>
    <w:p w14:paraId="3A6AFFB8" w14:textId="26EEB68A" w:rsidR="00983AE6" w:rsidRPr="00736F23" w:rsidRDefault="00983AE6" w:rsidP="00F877F9">
      <w:pPr>
        <w:pStyle w:val="ListBullet"/>
      </w:pPr>
      <w:r w:rsidRPr="00736F23">
        <w:t>A provider must</w:t>
      </w:r>
      <w:r w:rsidR="0048208D">
        <w:t xml:space="preserve"> </w:t>
      </w:r>
      <w:r w:rsidRPr="00736F23">
        <w:t xml:space="preserve">ensure key personnel and advisers have experience and expertise necessary to perform their duties and responsibilities including in delivery of education, financial and human resources management and administration </w:t>
      </w:r>
      <w:r w:rsidRPr="00230B77">
        <w:rPr>
          <w:rStyle w:val="ReferenceChar"/>
        </w:rPr>
        <w:t>[Rules s 27]</w:t>
      </w:r>
      <w:r w:rsidRPr="00EB14CD">
        <w:t>.</w:t>
      </w:r>
    </w:p>
    <w:p w14:paraId="15770602" w14:textId="134B0745" w:rsidR="00983AE6" w:rsidRPr="008205CD" w:rsidRDefault="00983AE6" w:rsidP="00F877F9">
      <w:pPr>
        <w:pStyle w:val="ListBullet"/>
        <w:rPr>
          <w:b/>
          <w:i/>
        </w:rPr>
      </w:pPr>
      <w:r w:rsidRPr="00F877F9">
        <w:t xml:space="preserve">not pay its staff commissions, benefits or bonuses that have any connection with the number of students who are enrolled by the provider and whose tuition fees are paid (whether wholly or in part) using </w:t>
      </w:r>
      <w:r w:rsidR="00454ED5" w:rsidRPr="00F877F9">
        <w:t>VET Student Loans</w:t>
      </w:r>
      <w:r w:rsidRPr="008205CD">
        <w:rPr>
          <w:b/>
          <w:i/>
        </w:rPr>
        <w:t xml:space="preserve"> </w:t>
      </w:r>
      <w:r w:rsidRPr="00253652">
        <w:rPr>
          <w:rStyle w:val="ReferenceChar"/>
        </w:rPr>
        <w:t>[Rules s 28]</w:t>
      </w:r>
      <w:r w:rsidRPr="00253652">
        <w:rPr>
          <w:b/>
        </w:rPr>
        <w:t>.</w:t>
      </w:r>
      <w:r w:rsidRPr="008205CD">
        <w:rPr>
          <w:b/>
          <w:i/>
        </w:rPr>
        <w:t xml:space="preserve"> </w:t>
      </w:r>
      <w:r w:rsidR="00F877F9" w:rsidRPr="00F877F9">
        <w:t xml:space="preserve">Further information on commissions is detailed in the </w:t>
      </w:r>
      <w:r w:rsidR="00F877F9">
        <w:t xml:space="preserve">next </w:t>
      </w:r>
      <w:r w:rsidR="00F877F9" w:rsidRPr="00F877F9">
        <w:t>section ‘Commissions for provider staff’.</w:t>
      </w:r>
    </w:p>
    <w:p w14:paraId="0064F452" w14:textId="77777777" w:rsidR="00994F23" w:rsidRDefault="00994F23">
      <w:pPr>
        <w:spacing w:line="276" w:lineRule="auto"/>
        <w:rPr>
          <w:rFonts w:ascii="Calibri" w:eastAsiaTheme="majorEastAsia" w:hAnsi="Calibri" w:cstheme="majorBidi"/>
          <w:b/>
          <w:bCs/>
          <w:i/>
        </w:rPr>
      </w:pPr>
      <w:bookmarkStart w:id="110" w:name="_Toc481505158"/>
      <w:bookmarkStart w:id="111" w:name="_Toc483209470"/>
      <w:r>
        <w:br w:type="page"/>
      </w:r>
    </w:p>
    <w:p w14:paraId="122E3ED7" w14:textId="64EA023E" w:rsidR="0048208D" w:rsidRPr="008205CD" w:rsidRDefault="0048208D" w:rsidP="00994F23">
      <w:pPr>
        <w:pStyle w:val="Heading5"/>
      </w:pPr>
      <w:bookmarkStart w:id="112" w:name="_Commissions_for_provider"/>
      <w:bookmarkEnd w:id="112"/>
      <w:r w:rsidRPr="008205CD">
        <w:lastRenderedPageBreak/>
        <w:t>Commissions for provider staff</w:t>
      </w:r>
    </w:p>
    <w:p w14:paraId="132D75DB" w14:textId="77777777" w:rsidR="00B7502A" w:rsidRPr="0028499D" w:rsidRDefault="00B7502A" w:rsidP="0028499D">
      <w:r w:rsidRPr="0028499D">
        <w:t xml:space="preserve">Section 28 of the </w:t>
      </w:r>
      <w:r w:rsidRPr="0028499D">
        <w:rPr>
          <w:i/>
          <w:iCs/>
        </w:rPr>
        <w:t>VET Student Loans Rules 2016</w:t>
      </w:r>
      <w:r w:rsidRPr="0028499D">
        <w:t xml:space="preserve"> prohibits providers from paying staff commissions, benefits or bonuses that have any connection with the number of students who enrol with a provider </w:t>
      </w:r>
      <w:r w:rsidRPr="0028499D">
        <w:rPr>
          <w:u w:val="single"/>
        </w:rPr>
        <w:t>in a course</w:t>
      </w:r>
      <w:r w:rsidRPr="0028499D">
        <w:t xml:space="preserve"> (whose fees are paid in whole, or in part under VET student loans), as well as </w:t>
      </w:r>
      <w:r w:rsidRPr="0028499D">
        <w:rPr>
          <w:u w:val="single"/>
        </w:rPr>
        <w:t>in subsequent units of study</w:t>
      </w:r>
      <w:r w:rsidRPr="0028499D">
        <w:t xml:space="preserve"> that form part of the course. </w:t>
      </w:r>
    </w:p>
    <w:p w14:paraId="0C99B712" w14:textId="77777777" w:rsidR="00B7502A" w:rsidRPr="00253652" w:rsidRDefault="00B7502A" w:rsidP="00A41C46">
      <w:pPr>
        <w:spacing w:after="120"/>
      </w:pPr>
      <w:r w:rsidRPr="00253652">
        <w:t>The words ‘</w:t>
      </w:r>
      <w:r w:rsidRPr="00253652">
        <w:rPr>
          <w:i/>
          <w:iCs/>
        </w:rPr>
        <w:t>any connection (whether direct or indirect)’</w:t>
      </w:r>
      <w:r w:rsidRPr="00253652">
        <w:t xml:space="preserve"> suggests that the intention is for the provision to apply so as to prohibit a wide range of provider behaviours which would amount to providers paying staff benefits / financial incentives connected to the numbers of students who are enrolled in approved courses.</w:t>
      </w:r>
    </w:p>
    <w:p w14:paraId="0010F061" w14:textId="77777777" w:rsidR="00B7502A" w:rsidRPr="00253652" w:rsidRDefault="00B7502A" w:rsidP="00A41C46">
      <w:pPr>
        <w:spacing w:after="120"/>
      </w:pPr>
      <w:r w:rsidRPr="00253652">
        <w:t xml:space="preserve">Accordingly, paying staff commissions / financial incentives connected with the number of students who progress through a course is not consistent with section 28 – which relates not only to the initial enrolment of a student in an approved course, but also to enrolments by the student in subsequent units of study that form part of the course. </w:t>
      </w:r>
    </w:p>
    <w:p w14:paraId="24E26D9D" w14:textId="77777777" w:rsidR="00B7502A" w:rsidRPr="00253652" w:rsidRDefault="00B7502A" w:rsidP="00A41C46">
      <w:pPr>
        <w:spacing w:after="120"/>
      </w:pPr>
      <w:r w:rsidRPr="00253652">
        <w:t xml:space="preserve">In addition, questionable training and assessment practices might result in a breach of the </w:t>
      </w:r>
      <w:r w:rsidRPr="00253652">
        <w:rPr>
          <w:i/>
          <w:iCs/>
        </w:rPr>
        <w:t>National Vocational Education and Training Regulator Act 2011</w:t>
      </w:r>
      <w:r w:rsidRPr="00253652">
        <w:t xml:space="preserve"> (</w:t>
      </w:r>
      <w:r w:rsidRPr="00253652">
        <w:rPr>
          <w:b/>
          <w:bCs/>
        </w:rPr>
        <w:t>NVETR Act</w:t>
      </w:r>
      <w:r w:rsidRPr="00253652">
        <w:t xml:space="preserve">) and / or the </w:t>
      </w:r>
      <w:r w:rsidRPr="00253652">
        <w:rPr>
          <w:i/>
          <w:iCs/>
        </w:rPr>
        <w:t xml:space="preserve">Standards for Registered Training Organisations 2015 </w:t>
      </w:r>
      <w:r w:rsidRPr="00253652">
        <w:t>(</w:t>
      </w:r>
      <w:r w:rsidRPr="00253652">
        <w:rPr>
          <w:b/>
          <w:bCs/>
        </w:rPr>
        <w:t>RTO Standards</w:t>
      </w:r>
      <w:r w:rsidRPr="00253652">
        <w:t>), specifically:</w:t>
      </w:r>
    </w:p>
    <w:p w14:paraId="1D93F89B" w14:textId="77777777" w:rsidR="00B7502A" w:rsidRPr="00253652" w:rsidRDefault="00B7502A" w:rsidP="00A0727A">
      <w:pPr>
        <w:pStyle w:val="ListParagraph"/>
        <w:numPr>
          <w:ilvl w:val="0"/>
          <w:numId w:val="59"/>
        </w:numPr>
        <w:spacing w:before="180" w:after="120"/>
        <w:rPr>
          <w:rFonts w:ascii="Calibri" w:hAnsi="Calibri" w:cs="Calibri"/>
        </w:rPr>
      </w:pPr>
      <w:r w:rsidRPr="00253652">
        <w:rPr>
          <w:rFonts w:ascii="Calibri" w:hAnsi="Calibri" w:cs="Calibri"/>
        </w:rPr>
        <w:t>if there is a suggestion that a provider may be allowing students to progress through a course where they do not meet the course competencies, or if the provider is not conducting the training or assessment appropriately, then this could be a breach of clause 1.1 and clause 1.8 of Standard 1 of the RTO Standards; and</w:t>
      </w:r>
    </w:p>
    <w:p w14:paraId="50B507E2" w14:textId="77777777" w:rsidR="00B7502A" w:rsidRPr="00253652" w:rsidRDefault="00B7502A" w:rsidP="00A0727A">
      <w:pPr>
        <w:pStyle w:val="ListParagraph"/>
        <w:numPr>
          <w:ilvl w:val="0"/>
          <w:numId w:val="59"/>
        </w:numPr>
        <w:spacing w:before="180" w:after="120"/>
        <w:rPr>
          <w:rFonts w:ascii="Calibri" w:hAnsi="Calibri" w:cs="Calibri"/>
        </w:rPr>
      </w:pPr>
      <w:r w:rsidRPr="00253652">
        <w:rPr>
          <w:rFonts w:ascii="Calibri" w:hAnsi="Calibri" w:cs="Calibri"/>
        </w:rPr>
        <w:t>if the provider is issuing VET qualifications and / or VET statements of attainment without adequate assessment or without ensuring the student satisfied the requirements then this could be a breach of the offence and civil penalty provisions at sections 103 – 110 of the NVETR Act.</w:t>
      </w:r>
    </w:p>
    <w:p w14:paraId="4BFC3E12" w14:textId="77777777" w:rsidR="00983AE6" w:rsidRPr="00C0519F" w:rsidRDefault="00983AE6" w:rsidP="00994F23">
      <w:pPr>
        <w:pStyle w:val="Heading5"/>
      </w:pPr>
      <w:r w:rsidRPr="00C0519F">
        <w:t>Compliance</w:t>
      </w:r>
      <w:bookmarkEnd w:id="110"/>
      <w:bookmarkEnd w:id="111"/>
    </w:p>
    <w:p w14:paraId="26E611A1" w14:textId="48089F47" w:rsidR="00983AE6" w:rsidRPr="00736F23" w:rsidRDefault="00983AE6" w:rsidP="00983AE6">
      <w:r w:rsidRPr="00736F23">
        <w:t>A provider must</w:t>
      </w:r>
      <w:r w:rsidR="00972784">
        <w:t>:</w:t>
      </w:r>
    </w:p>
    <w:p w14:paraId="633F2634" w14:textId="5615CD8D" w:rsidR="00983AE6" w:rsidRPr="00736F23" w:rsidRDefault="00983AE6" w:rsidP="00983AE6">
      <w:pPr>
        <w:pStyle w:val="ListBullet"/>
      </w:pPr>
      <w:r w:rsidRPr="00736F23">
        <w:t>comply with relevant laws and continually meet the appropriate RTO quality standards for training and assessment</w:t>
      </w:r>
      <w:r w:rsidR="00972784">
        <w:t xml:space="preserve"> </w:t>
      </w:r>
      <w:r w:rsidR="00972784">
        <w:rPr>
          <w:rStyle w:val="ReferenceChar"/>
        </w:rPr>
        <w:t>[R</w:t>
      </w:r>
      <w:r w:rsidR="00972784" w:rsidRPr="00C20497">
        <w:rPr>
          <w:rStyle w:val="ReferenceChar"/>
        </w:rPr>
        <w:t>ules</w:t>
      </w:r>
      <w:r w:rsidR="00972784">
        <w:rPr>
          <w:rStyle w:val="ReferenceChar"/>
        </w:rPr>
        <w:t xml:space="preserve"> s29]</w:t>
      </w:r>
    </w:p>
    <w:p w14:paraId="08A97522" w14:textId="0F22179F" w:rsidR="00983AE6" w:rsidRPr="00736F23" w:rsidRDefault="00983AE6" w:rsidP="00983AE6">
      <w:pPr>
        <w:pStyle w:val="ListBullet"/>
      </w:pPr>
      <w:r w:rsidRPr="00736F23">
        <w:t xml:space="preserve">meet the relevant standards applicable to their registration as an NVR </w:t>
      </w:r>
      <w:r>
        <w:t>RTO</w:t>
      </w:r>
      <w:r w:rsidRPr="00736F23">
        <w:t>, or registration with the Western Australia Training Accreditation Council or reg</w:t>
      </w:r>
      <w:r>
        <w:t>istration</w:t>
      </w:r>
      <w:r w:rsidRPr="00736F23">
        <w:t xml:space="preserve"> with the </w:t>
      </w:r>
      <w:hyperlink r:id="rId41" w:history="1">
        <w:r w:rsidRPr="00736F23">
          <w:t>Victorian Registration and Qualifications Authority</w:t>
        </w:r>
      </w:hyperlink>
      <w:r w:rsidR="00972784">
        <w:t xml:space="preserve"> </w:t>
      </w:r>
      <w:r w:rsidR="00972784">
        <w:rPr>
          <w:rStyle w:val="ReferenceChar"/>
        </w:rPr>
        <w:t>[R</w:t>
      </w:r>
      <w:r w:rsidR="00972784" w:rsidRPr="00C20497">
        <w:rPr>
          <w:rStyle w:val="ReferenceChar"/>
        </w:rPr>
        <w:t>ules</w:t>
      </w:r>
      <w:r w:rsidR="00972784">
        <w:rPr>
          <w:rStyle w:val="ReferenceChar"/>
        </w:rPr>
        <w:t xml:space="preserve"> s30]</w:t>
      </w:r>
      <w:r w:rsidRPr="00736F23">
        <w:t>.</w:t>
      </w:r>
    </w:p>
    <w:p w14:paraId="67FF3D77" w14:textId="2A5380A6" w:rsidR="00983AE6" w:rsidRPr="00230B77" w:rsidRDefault="00983AE6" w:rsidP="00A0727A">
      <w:pPr>
        <w:pStyle w:val="Heading3"/>
        <w:numPr>
          <w:ilvl w:val="3"/>
          <w:numId w:val="71"/>
        </w:numPr>
      </w:pPr>
      <w:bookmarkStart w:id="113" w:name="_Toc483222809"/>
      <w:bookmarkStart w:id="114" w:name="_Toc501621186"/>
      <w:r w:rsidRPr="00230B77">
        <w:t>Experience and course offerings</w:t>
      </w:r>
      <w:bookmarkEnd w:id="113"/>
      <w:bookmarkEnd w:id="114"/>
    </w:p>
    <w:p w14:paraId="45E5ED33" w14:textId="1D175ECF" w:rsidR="00983AE6" w:rsidRPr="00C0519F" w:rsidRDefault="00983AE6" w:rsidP="00994F23">
      <w:pPr>
        <w:pStyle w:val="Heading5"/>
      </w:pPr>
      <w:bookmarkStart w:id="115" w:name="_Toc481505160"/>
      <w:bookmarkStart w:id="116" w:name="_Toc483209472"/>
      <w:r w:rsidRPr="00C0519F">
        <w:t>Track record</w:t>
      </w:r>
      <w:bookmarkEnd w:id="115"/>
      <w:bookmarkEnd w:id="116"/>
    </w:p>
    <w:p w14:paraId="20C997BE" w14:textId="77777777" w:rsidR="00983AE6" w:rsidRPr="00736F23" w:rsidRDefault="00983AE6" w:rsidP="00983AE6">
      <w:r w:rsidRPr="00736F23">
        <w:t>A provider must have experience in providing vocational education and training as a</w:t>
      </w:r>
      <w:r>
        <w:t>n</w:t>
      </w:r>
      <w:r w:rsidRPr="00736F23">
        <w:t xml:space="preserve"> RTO</w:t>
      </w:r>
      <w:r>
        <w:t xml:space="preserve">. The following factors (among others) are relevant to determining whether the provider has such experience </w:t>
      </w:r>
      <w:r w:rsidRPr="00230B77">
        <w:rPr>
          <w:rStyle w:val="ReferenceChar"/>
        </w:rPr>
        <w:t>[Rules s 31]</w:t>
      </w:r>
      <w:r w:rsidRPr="00EB14CD">
        <w:t>:</w:t>
      </w:r>
    </w:p>
    <w:p w14:paraId="70CF222C" w14:textId="77777777" w:rsidR="00983AE6" w:rsidRDefault="00983AE6" w:rsidP="00983AE6">
      <w:pPr>
        <w:pStyle w:val="ListBullet"/>
      </w:pPr>
      <w:r>
        <w:t>whether the provider has been registered as a RTO for at least 3 years</w:t>
      </w:r>
    </w:p>
    <w:p w14:paraId="555EDD22" w14:textId="77777777" w:rsidR="00983AE6" w:rsidRPr="00736F23" w:rsidRDefault="00983AE6" w:rsidP="00983AE6">
      <w:pPr>
        <w:pStyle w:val="ListBullet"/>
      </w:pPr>
      <w:r>
        <w:t>the</w:t>
      </w:r>
      <w:r w:rsidRPr="00736F23">
        <w:t xml:space="preserve"> history of</w:t>
      </w:r>
      <w:r>
        <w:t xml:space="preserve"> the provider and its key personnel in</w:t>
      </w:r>
      <w:r w:rsidRPr="00736F23">
        <w:t xml:space="preserve"> delivering high quality vocational education and training to genuine students </w:t>
      </w:r>
    </w:p>
    <w:p w14:paraId="3356319A" w14:textId="77777777" w:rsidR="00983AE6" w:rsidRPr="00736F23" w:rsidRDefault="00983AE6" w:rsidP="00983AE6">
      <w:pPr>
        <w:pStyle w:val="ListBullet"/>
      </w:pPr>
      <w:r>
        <w:t xml:space="preserve">the scope, and the level of qualifications, of the courses the provider and its key personnel have experience in providing. That is whether they have </w:t>
      </w:r>
      <w:r w:rsidRPr="00736F23">
        <w:t xml:space="preserve">a strong history of delivering Diploma and Advanced Diploma qualifications and courses </w:t>
      </w:r>
    </w:p>
    <w:p w14:paraId="0CB9A908" w14:textId="77777777" w:rsidR="00983AE6" w:rsidRDefault="00983AE6" w:rsidP="00983AE6">
      <w:pPr>
        <w:pStyle w:val="ListBullet"/>
      </w:pPr>
      <w:r w:rsidRPr="003C0DAD">
        <w:t>the history of the provider and its key personnel in delivering education through State and Territory subsidy funding arrangements</w:t>
      </w:r>
      <w:r>
        <w:t>.</w:t>
      </w:r>
      <w:r w:rsidRPr="003C0DAD">
        <w:t xml:space="preserve"> </w:t>
      </w:r>
      <w:r>
        <w:t xml:space="preserve">That is </w:t>
      </w:r>
      <w:r w:rsidRPr="003C0DAD">
        <w:t>of providing state subsidised courses, or being on a state preferred provider register</w:t>
      </w:r>
      <w:r w:rsidR="00A51097">
        <w:t>.</w:t>
      </w:r>
      <w:r w:rsidRPr="003C0DAD">
        <w:t xml:space="preserve"> </w:t>
      </w:r>
    </w:p>
    <w:p w14:paraId="49964157" w14:textId="77777777" w:rsidR="00983AE6" w:rsidRPr="003C0DAD" w:rsidRDefault="00983AE6" w:rsidP="00994F23">
      <w:pPr>
        <w:pStyle w:val="Heading5"/>
      </w:pPr>
      <w:r w:rsidRPr="003C0DAD">
        <w:lastRenderedPageBreak/>
        <w:t>Minimum course offerings</w:t>
      </w:r>
    </w:p>
    <w:p w14:paraId="2455919B" w14:textId="77777777" w:rsidR="00983AE6" w:rsidRPr="00736F23" w:rsidRDefault="00983AE6" w:rsidP="00983AE6">
      <w:pPr>
        <w:rPr>
          <w:sz w:val="20"/>
        </w:rPr>
      </w:pPr>
      <w:r>
        <w:t xml:space="preserve">To be approved, and maintain its approval, under VET Student Loans, a provider must be </w:t>
      </w:r>
      <w:r w:rsidRPr="00736F23">
        <w:t xml:space="preserve">providing </w:t>
      </w:r>
      <w:r>
        <w:t xml:space="preserve">at least one </w:t>
      </w:r>
      <w:r w:rsidRPr="00736F23">
        <w:t>approved course</w:t>
      </w:r>
      <w:r>
        <w:t xml:space="preserve"> set out in the Courses and Loan Caps Determination</w:t>
      </w:r>
      <w:r w:rsidRPr="00736F23">
        <w:t xml:space="preserve"> </w:t>
      </w:r>
      <w:r w:rsidRPr="00230B77">
        <w:rPr>
          <w:rStyle w:val="ReferenceChar"/>
        </w:rPr>
        <w:t>[Rules s 32]</w:t>
      </w:r>
      <w:r w:rsidRPr="00EB14CD">
        <w:t>.</w:t>
      </w:r>
    </w:p>
    <w:p w14:paraId="01BFA979" w14:textId="752F1F84" w:rsidR="00983AE6" w:rsidRPr="00230B77" w:rsidRDefault="00983AE6" w:rsidP="00A0727A">
      <w:pPr>
        <w:pStyle w:val="Heading3"/>
        <w:numPr>
          <w:ilvl w:val="3"/>
          <w:numId w:val="71"/>
        </w:numPr>
      </w:pPr>
      <w:bookmarkStart w:id="117" w:name="_Student_outcomes_and"/>
      <w:bookmarkStart w:id="118" w:name="_Toc471374351"/>
      <w:bookmarkStart w:id="119" w:name="_Toc483222810"/>
      <w:bookmarkStart w:id="120" w:name="_Toc501621187"/>
      <w:bookmarkEnd w:id="117"/>
      <w:r w:rsidRPr="00230B77">
        <w:t>Student outcomes</w:t>
      </w:r>
      <w:bookmarkEnd w:id="118"/>
      <w:r w:rsidRPr="00230B77">
        <w:t xml:space="preserve"> and </w:t>
      </w:r>
      <w:r w:rsidR="001924F4">
        <w:t>w</w:t>
      </w:r>
      <w:r w:rsidRPr="00230B77">
        <w:t>orkplace relevance</w:t>
      </w:r>
      <w:bookmarkEnd w:id="119"/>
      <w:bookmarkEnd w:id="120"/>
    </w:p>
    <w:p w14:paraId="30D54958" w14:textId="1ED09AF4" w:rsidR="00983AE6" w:rsidRPr="00C0519F" w:rsidRDefault="00983AE6" w:rsidP="00994F23">
      <w:pPr>
        <w:pStyle w:val="Heading5"/>
      </w:pPr>
      <w:bookmarkStart w:id="121" w:name="_Toc481505162"/>
      <w:bookmarkStart w:id="122" w:name="_Toc483209474"/>
      <w:r w:rsidRPr="00C0519F">
        <w:t>Completion rates</w:t>
      </w:r>
      <w:bookmarkEnd w:id="121"/>
      <w:bookmarkEnd w:id="122"/>
    </w:p>
    <w:p w14:paraId="016B8C44" w14:textId="3ABDAD79" w:rsidR="00983AE6" w:rsidRDefault="00983AE6" w:rsidP="00983AE6">
      <w:pPr>
        <w:rPr>
          <w:rStyle w:val="ReferencesChar"/>
          <w:rFonts w:asciiTheme="minorHAnsi" w:hAnsiTheme="minorHAnsi" w:cstheme="minorHAnsi"/>
          <w:sz w:val="12"/>
          <w:szCs w:val="12"/>
        </w:rPr>
      </w:pPr>
      <w:r w:rsidRPr="00736F23">
        <w:t>A provider must have adequate completion rates for each of its courses that lead to a diploma, advanced diploma, g</w:t>
      </w:r>
      <w:r w:rsidR="00002BFC">
        <w:t>raduate certificate or graduate</w:t>
      </w:r>
      <w:r w:rsidRPr="00736F23">
        <w:t xml:space="preserve"> diploma </w:t>
      </w:r>
      <w:r w:rsidRPr="00230B77">
        <w:rPr>
          <w:rStyle w:val="ReferenceChar"/>
        </w:rPr>
        <w:t>[Rules s 33]</w:t>
      </w:r>
      <w:r w:rsidRPr="00EB14CD">
        <w:t>.</w:t>
      </w:r>
    </w:p>
    <w:p w14:paraId="15F0C846" w14:textId="77777777" w:rsidR="00983AE6" w:rsidRDefault="00983AE6" w:rsidP="00983AE6">
      <w:r>
        <w:t>T</w:t>
      </w:r>
      <w:r w:rsidRPr="00347DDA">
        <w:t>he Secretary must be satisfied that from the date of approval, the provider meets the completion rate benchmarks for courses or parts of courses. The</w:t>
      </w:r>
      <w:r>
        <w:t>se</w:t>
      </w:r>
      <w:r w:rsidRPr="00347DDA">
        <w:t xml:space="preserve"> benchmarks will be determined by the Secretary and published on the d</w:t>
      </w:r>
      <w:r>
        <w:t>epartment’s website</w:t>
      </w:r>
      <w:r w:rsidRPr="00347DDA">
        <w:t>. The</w:t>
      </w:r>
      <w:r>
        <w:t>se</w:t>
      </w:r>
      <w:r w:rsidRPr="00347DDA">
        <w:t xml:space="preserve"> benchmarks</w:t>
      </w:r>
      <w:r>
        <w:t xml:space="preserve"> may apply </w:t>
      </w:r>
      <w:r w:rsidRPr="00347DDA">
        <w:t>to the VET sector generally</w:t>
      </w:r>
      <w:r>
        <w:t>,</w:t>
      </w:r>
      <w:r w:rsidRPr="00347DDA">
        <w:t xml:space="preserve"> to a type of course or particular courses. </w:t>
      </w:r>
      <w:r>
        <w:t>As p</w:t>
      </w:r>
      <w:r w:rsidRPr="00347DDA">
        <w:t xml:space="preserve">roviders </w:t>
      </w:r>
      <w:r>
        <w:t xml:space="preserve">are required </w:t>
      </w:r>
      <w:r w:rsidRPr="00347DDA">
        <w:t xml:space="preserve">to meet the standards that apply to their registration as </w:t>
      </w:r>
      <w:r>
        <w:t>an RTO</w:t>
      </w:r>
      <w:r w:rsidRPr="00347DDA">
        <w:t xml:space="preserve">, </w:t>
      </w:r>
      <w:r>
        <w:t>they will not be able to</w:t>
      </w:r>
      <w:r w:rsidRPr="00347DDA">
        <w:t xml:space="preserve"> lower their quality</w:t>
      </w:r>
      <w:r>
        <w:t xml:space="preserve"> standards in order to meet </w:t>
      </w:r>
      <w:r w:rsidRPr="00347DDA">
        <w:t>completion rate benchmarks.</w:t>
      </w:r>
    </w:p>
    <w:p w14:paraId="513FE86B" w14:textId="77777777" w:rsidR="00C17A60" w:rsidRDefault="00C17A60" w:rsidP="00C17A60">
      <w:pPr>
        <w:rPr>
          <w:rFonts w:eastAsiaTheme="minorHAnsi"/>
        </w:rPr>
      </w:pPr>
      <w:r>
        <w:t>All submitted data must be accompanied by a statutory declaration (signed by an authorised senior officer) attesting to its validity.</w:t>
      </w:r>
    </w:p>
    <w:p w14:paraId="4DD9FE95" w14:textId="77777777" w:rsidR="00983AE6" w:rsidRPr="00736F23" w:rsidRDefault="00983AE6" w:rsidP="00994F23">
      <w:pPr>
        <w:pStyle w:val="Heading5"/>
      </w:pPr>
      <w:r w:rsidRPr="00736F23">
        <w:t>Student support</w:t>
      </w:r>
    </w:p>
    <w:p w14:paraId="3F088042" w14:textId="77777777" w:rsidR="00983AE6" w:rsidRDefault="00983AE6" w:rsidP="00983AE6">
      <w:r w:rsidRPr="00736F23">
        <w:t>A provider must have genuine students with satisfactory levels of student engagement and student satisfaction</w:t>
      </w:r>
      <w:r>
        <w:t xml:space="preserve">. </w:t>
      </w:r>
      <w:hyperlink w:anchor="_Determining_genuine_students" w:history="1">
        <w:r w:rsidRPr="009B6106">
          <w:rPr>
            <w:rStyle w:val="Hyperlink"/>
          </w:rPr>
          <w:t>Section 4.7.3</w:t>
        </w:r>
      </w:hyperlink>
      <w:r>
        <w:t xml:space="preserve"> of this Manual provides guidance on what is a ‘genuine student’.</w:t>
      </w:r>
    </w:p>
    <w:p w14:paraId="442D2D8E" w14:textId="77777777" w:rsidR="00983AE6" w:rsidRPr="00371883" w:rsidRDefault="00983AE6" w:rsidP="00983AE6">
      <w:r>
        <w:t xml:space="preserve">Providers </w:t>
      </w:r>
      <w:r w:rsidRPr="00736F23">
        <w:t xml:space="preserve">must assess student satisfaction </w:t>
      </w:r>
      <w:r>
        <w:t>in relation to</w:t>
      </w:r>
      <w:r w:rsidRPr="00736F23">
        <w:t xml:space="preserve"> each of its courses at least annually </w:t>
      </w:r>
      <w:r w:rsidRPr="00230B77">
        <w:rPr>
          <w:rStyle w:val="ReferenceChar"/>
        </w:rPr>
        <w:t>[Rules s 34]</w:t>
      </w:r>
      <w:r w:rsidRPr="00EB14CD">
        <w:t xml:space="preserve">. </w:t>
      </w:r>
      <w:r w:rsidRPr="00230B77">
        <w:t>For example, this may be by way of an online survey.</w:t>
      </w:r>
    </w:p>
    <w:p w14:paraId="143988AA" w14:textId="77777777" w:rsidR="00983AE6" w:rsidRPr="00C0519F" w:rsidRDefault="00983AE6" w:rsidP="00994F23">
      <w:pPr>
        <w:pStyle w:val="Heading5"/>
      </w:pPr>
      <w:bookmarkStart w:id="123" w:name="_Toc481505163"/>
      <w:bookmarkStart w:id="124" w:name="_Toc483209475"/>
      <w:r w:rsidRPr="00C0519F">
        <w:t>Workplace relevance</w:t>
      </w:r>
      <w:bookmarkEnd w:id="123"/>
      <w:bookmarkEnd w:id="124"/>
    </w:p>
    <w:p w14:paraId="7E3CA0B2" w14:textId="77777777" w:rsidR="00983AE6" w:rsidRPr="00736F23" w:rsidRDefault="00983AE6" w:rsidP="00983AE6">
      <w:pPr>
        <w:rPr>
          <w:sz w:val="20"/>
          <w:szCs w:val="20"/>
        </w:rPr>
      </w:pPr>
      <w:r w:rsidRPr="00736F23">
        <w:t>Providers must have established and maintain</w:t>
      </w:r>
      <w:r>
        <w:t>ed</w:t>
      </w:r>
      <w:r w:rsidRPr="00736F23">
        <w:t xml:space="preserve"> material, relevant and appropriate links with industry and other bodies to ensure their courses meet workplace needs and improve employment outcomes</w:t>
      </w:r>
      <w:r w:rsidRPr="00736F23">
        <w:rPr>
          <w:sz w:val="20"/>
          <w:szCs w:val="20"/>
        </w:rPr>
        <w:t xml:space="preserve"> </w:t>
      </w:r>
      <w:r w:rsidRPr="007F41CA">
        <w:rPr>
          <w:rStyle w:val="ReferenceChar"/>
        </w:rPr>
        <w:t>[Rules s 35]</w:t>
      </w:r>
      <w:r w:rsidRPr="00736F23">
        <w:rPr>
          <w:sz w:val="20"/>
          <w:szCs w:val="20"/>
        </w:rPr>
        <w:t xml:space="preserve">.  </w:t>
      </w:r>
    </w:p>
    <w:p w14:paraId="76EDBCAE" w14:textId="22079248" w:rsidR="00983AE6" w:rsidRPr="007F41CA" w:rsidRDefault="00983AE6" w:rsidP="00A0727A">
      <w:pPr>
        <w:pStyle w:val="Heading3"/>
        <w:numPr>
          <w:ilvl w:val="3"/>
          <w:numId w:val="71"/>
        </w:numPr>
      </w:pPr>
      <w:bookmarkStart w:id="125" w:name="_Fit_and_proper"/>
      <w:bookmarkStart w:id="126" w:name="_Toc471374352"/>
      <w:bookmarkStart w:id="127" w:name="_Toc483222811"/>
      <w:bookmarkStart w:id="128" w:name="_Toc501621188"/>
      <w:bookmarkEnd w:id="125"/>
      <w:r w:rsidRPr="007F41CA">
        <w:t>Fit and proper person</w:t>
      </w:r>
      <w:bookmarkEnd w:id="126"/>
      <w:bookmarkEnd w:id="127"/>
      <w:bookmarkEnd w:id="128"/>
      <w:r w:rsidRPr="007F41CA">
        <w:t xml:space="preserve"> </w:t>
      </w:r>
    </w:p>
    <w:p w14:paraId="196C4E55" w14:textId="77777777" w:rsidR="00983AE6" w:rsidRPr="00736F23" w:rsidRDefault="00983AE6" w:rsidP="00D76262">
      <w:pPr>
        <w:pStyle w:val="BodyIndent1"/>
        <w:spacing w:before="0"/>
        <w:ind w:left="0"/>
        <w:rPr>
          <w:rFonts w:asciiTheme="minorHAnsi" w:hAnsiTheme="minorHAnsi" w:cstheme="minorHAnsi"/>
        </w:rPr>
      </w:pPr>
      <w:r>
        <w:rPr>
          <w:rFonts w:asciiTheme="minorHAnsi" w:hAnsiTheme="minorHAnsi" w:cstheme="minorHAnsi"/>
        </w:rPr>
        <w:t>To be approved under VET Student Loans, a provider (and its key personnel) must demonstrate that they are ‘fit and proper persons’. This is t</w:t>
      </w:r>
      <w:r w:rsidRPr="00736F23">
        <w:rPr>
          <w:rFonts w:asciiTheme="minorHAnsi" w:hAnsiTheme="minorHAnsi" w:cstheme="minorHAnsi"/>
        </w:rPr>
        <w:t xml:space="preserve">o ensure that </w:t>
      </w:r>
      <w:r>
        <w:rPr>
          <w:rFonts w:asciiTheme="minorHAnsi" w:hAnsiTheme="minorHAnsi" w:cstheme="minorHAnsi"/>
        </w:rPr>
        <w:t xml:space="preserve">providers and their key personnel meet </w:t>
      </w:r>
      <w:r w:rsidRPr="00736F23">
        <w:rPr>
          <w:rFonts w:asciiTheme="minorHAnsi" w:hAnsiTheme="minorHAnsi" w:cstheme="minorHAnsi"/>
        </w:rPr>
        <w:t>sufficient</w:t>
      </w:r>
      <w:r>
        <w:rPr>
          <w:rFonts w:asciiTheme="minorHAnsi" w:hAnsiTheme="minorHAnsi" w:cstheme="minorHAnsi"/>
        </w:rPr>
        <w:t xml:space="preserve"> standards of</w:t>
      </w:r>
      <w:r w:rsidRPr="00736F23">
        <w:rPr>
          <w:rFonts w:asciiTheme="minorHAnsi" w:hAnsiTheme="minorHAnsi" w:cstheme="minorHAnsi"/>
        </w:rPr>
        <w:t xml:space="preserve"> integrity, honesty and good character</w:t>
      </w:r>
      <w:r>
        <w:rPr>
          <w:rFonts w:asciiTheme="minorHAnsi" w:hAnsiTheme="minorHAnsi" w:cstheme="minorHAnsi"/>
        </w:rPr>
        <w:t>.</w:t>
      </w:r>
    </w:p>
    <w:p w14:paraId="6B05D4BD" w14:textId="77777777" w:rsidR="00983AE6" w:rsidRPr="00736F23" w:rsidRDefault="00983AE6" w:rsidP="001A4511">
      <w:pPr>
        <w:pStyle w:val="BodyIndent1"/>
        <w:spacing w:before="0"/>
        <w:ind w:left="0"/>
        <w:rPr>
          <w:rFonts w:asciiTheme="minorHAnsi" w:hAnsiTheme="minorHAnsi" w:cstheme="minorHAnsi"/>
        </w:rPr>
      </w:pPr>
      <w:r w:rsidRPr="00736F23">
        <w:rPr>
          <w:rFonts w:asciiTheme="minorHAnsi" w:hAnsiTheme="minorHAnsi" w:cstheme="minorHAnsi"/>
        </w:rPr>
        <w:t>In considering whether a body is a fit and proper person, the Secretary may have regard to a range of factors in relation to the body or any of its key personnel. These factors are set out in sections 14</w:t>
      </w:r>
      <w:r w:rsidR="00B60AF0">
        <w:rPr>
          <w:rFonts w:asciiTheme="minorHAnsi" w:hAnsiTheme="minorHAnsi" w:cstheme="minorHAnsi"/>
        </w:rPr>
        <w:t> </w:t>
      </w:r>
      <w:r w:rsidRPr="00736F23">
        <w:rPr>
          <w:rFonts w:asciiTheme="minorHAnsi" w:hAnsiTheme="minorHAnsi" w:cstheme="minorHAnsi"/>
        </w:rPr>
        <w:t xml:space="preserve">to 20 of the Rules. </w:t>
      </w:r>
    </w:p>
    <w:p w14:paraId="59BF49E6" w14:textId="77777777" w:rsidR="00983AE6" w:rsidRPr="00736F23" w:rsidRDefault="00983AE6" w:rsidP="001A4511">
      <w:pPr>
        <w:pStyle w:val="BodyIndent1"/>
        <w:spacing w:before="0"/>
        <w:ind w:left="0"/>
        <w:rPr>
          <w:rFonts w:asciiTheme="minorHAnsi" w:hAnsiTheme="minorHAnsi" w:cstheme="minorHAnsi"/>
          <w:i/>
        </w:rPr>
      </w:pPr>
      <w:r w:rsidRPr="00736F23">
        <w:rPr>
          <w:rFonts w:asciiTheme="minorHAnsi" w:hAnsiTheme="minorHAnsi" w:cstheme="minorHAnsi"/>
        </w:rPr>
        <w:t xml:space="preserve">The factors include history of compliance with laws, financial and management record and whether the provider or key personnel have ever provided false or misleading information and whether any key personnel of the provider has been disqualified from managing corporations under the </w:t>
      </w:r>
      <w:r w:rsidRPr="00736F23">
        <w:rPr>
          <w:rFonts w:asciiTheme="minorHAnsi" w:hAnsiTheme="minorHAnsi" w:cstheme="minorHAnsi"/>
          <w:i/>
        </w:rPr>
        <w:t>Corporations Act 2001.</w:t>
      </w:r>
      <w:r w:rsidRPr="00736F23">
        <w:rPr>
          <w:rStyle w:val="ReferencesChar"/>
          <w:rFonts w:asciiTheme="minorHAnsi" w:hAnsiTheme="minorHAnsi" w:cstheme="minorHAnsi"/>
        </w:rPr>
        <w:t xml:space="preserve"> </w:t>
      </w:r>
    </w:p>
    <w:p w14:paraId="1A82E47C" w14:textId="77777777" w:rsidR="00983AE6" w:rsidRDefault="00983AE6" w:rsidP="001A4511">
      <w:pPr>
        <w:pStyle w:val="BodyIndent1"/>
        <w:spacing w:before="0"/>
        <w:ind w:left="0"/>
        <w:rPr>
          <w:rFonts w:eastAsiaTheme="majorEastAsia" w:cstheme="majorBidi"/>
          <w:b/>
          <w:bCs/>
          <w:color w:val="292065"/>
          <w:sz w:val="28"/>
          <w:szCs w:val="26"/>
        </w:rPr>
      </w:pPr>
      <w:r>
        <w:rPr>
          <w:rFonts w:asciiTheme="minorHAnsi" w:hAnsiTheme="minorHAnsi" w:cstheme="minorHAnsi"/>
        </w:rPr>
        <w:t>A</w:t>
      </w:r>
      <w:r w:rsidRPr="00736F23">
        <w:rPr>
          <w:rFonts w:asciiTheme="minorHAnsi" w:hAnsiTheme="minorHAnsi" w:cstheme="minorHAnsi"/>
        </w:rPr>
        <w:t xml:space="preserve"> single relevant matter </w:t>
      </w:r>
      <w:r>
        <w:rPr>
          <w:rFonts w:asciiTheme="minorHAnsi" w:hAnsiTheme="minorHAnsi" w:cstheme="minorHAnsi"/>
        </w:rPr>
        <w:t>may</w:t>
      </w:r>
      <w:r w:rsidRPr="00736F23">
        <w:rPr>
          <w:rFonts w:asciiTheme="minorHAnsi" w:hAnsiTheme="minorHAnsi" w:cstheme="minorHAnsi"/>
        </w:rPr>
        <w:t xml:space="preserve"> not necessarily indicate that an applicant is not a fit and proper person. However, a pattern of conduct may demonstrate an attitude towards standards of proper conduct or honesty that indicates that a provider is not a fit and proper person to be an approved </w:t>
      </w:r>
      <w:r>
        <w:rPr>
          <w:rFonts w:asciiTheme="minorHAnsi" w:hAnsiTheme="minorHAnsi" w:cstheme="minorHAnsi"/>
        </w:rPr>
        <w:t xml:space="preserve">course </w:t>
      </w:r>
      <w:r w:rsidRPr="00736F23">
        <w:rPr>
          <w:rFonts w:asciiTheme="minorHAnsi" w:hAnsiTheme="minorHAnsi" w:cstheme="minorHAnsi"/>
        </w:rPr>
        <w:t xml:space="preserve">provider. </w:t>
      </w:r>
      <w:bookmarkStart w:id="129" w:name="_Tuition_assurance"/>
      <w:bookmarkStart w:id="130" w:name="_Toc471374353"/>
      <w:bookmarkStart w:id="131" w:name="_Toc477960020"/>
      <w:bookmarkStart w:id="132" w:name="_Toc483222812"/>
      <w:bookmarkEnd w:id="129"/>
      <w:r>
        <w:br w:type="page"/>
      </w:r>
    </w:p>
    <w:p w14:paraId="2A841A0D" w14:textId="2B37A8CC" w:rsidR="00983AE6" w:rsidRPr="006D19A7" w:rsidRDefault="00027F5B" w:rsidP="00A0727A">
      <w:pPr>
        <w:pStyle w:val="Heading2"/>
        <w:numPr>
          <w:ilvl w:val="1"/>
          <w:numId w:val="71"/>
        </w:numPr>
        <w:rPr>
          <w:rFonts w:eastAsia="Times New Roman"/>
        </w:rPr>
      </w:pPr>
      <w:bookmarkStart w:id="133" w:name="_Tuition_assurance_1"/>
      <w:bookmarkEnd w:id="133"/>
      <w:r>
        <w:rPr>
          <w:rFonts w:eastAsia="Times New Roman"/>
        </w:rPr>
        <w:lastRenderedPageBreak/>
        <w:t xml:space="preserve"> </w:t>
      </w:r>
      <w:bookmarkStart w:id="134" w:name="_Toc501621189"/>
      <w:r w:rsidR="00983AE6" w:rsidRPr="006D19A7">
        <w:rPr>
          <w:rFonts w:eastAsia="Times New Roman"/>
        </w:rPr>
        <w:t>Tuition assurance</w:t>
      </w:r>
      <w:bookmarkEnd w:id="130"/>
      <w:bookmarkEnd w:id="131"/>
      <w:bookmarkEnd w:id="132"/>
      <w:bookmarkEnd w:id="134"/>
    </w:p>
    <w:p w14:paraId="3994189D" w14:textId="77777777" w:rsidR="003F4446" w:rsidRDefault="003F4446" w:rsidP="00F372A2">
      <w:pPr>
        <w:pBdr>
          <w:top w:val="single" w:sz="4" w:space="1" w:color="auto"/>
          <w:left w:val="single" w:sz="4" w:space="4" w:color="auto"/>
          <w:bottom w:val="single" w:sz="4" w:space="1" w:color="auto"/>
          <w:right w:val="single" w:sz="4" w:space="4" w:color="auto"/>
        </w:pBdr>
        <w:shd w:val="clear" w:color="auto" w:fill="FDE9D9" w:themeFill="accent6" w:themeFillTint="33"/>
      </w:pPr>
      <w:r>
        <w:t>Tuition assurance changes:</w:t>
      </w:r>
    </w:p>
    <w:p w14:paraId="53777A12" w14:textId="2C131755" w:rsidR="00F372A2" w:rsidRDefault="00F372A2" w:rsidP="00F372A2">
      <w:pPr>
        <w:pBdr>
          <w:top w:val="single" w:sz="4" w:space="1" w:color="auto"/>
          <w:left w:val="single" w:sz="4" w:space="4" w:color="auto"/>
          <w:bottom w:val="single" w:sz="4" w:space="1" w:color="auto"/>
          <w:right w:val="single" w:sz="4" w:space="4" w:color="auto"/>
        </w:pBdr>
        <w:shd w:val="clear" w:color="auto" w:fill="FDE9D9" w:themeFill="accent6" w:themeFillTint="33"/>
        <w:rPr>
          <w:lang w:val="en"/>
        </w:rPr>
      </w:pPr>
      <w:r>
        <w:t>Under</w:t>
      </w:r>
      <w:r>
        <w:rPr>
          <w:lang w:val="en"/>
        </w:rPr>
        <w:t xml:space="preserve"> the VET Student Loans Rules 2016, the transitional approval of the tuition assurance operators, the Australian Council for Private Education and Training and TAFE Directors Australia, expires </w:t>
      </w:r>
      <w:r w:rsidR="003F4446">
        <w:rPr>
          <w:lang w:val="en"/>
        </w:rPr>
        <w:t>on 31 </w:t>
      </w:r>
      <w:r>
        <w:rPr>
          <w:lang w:val="en"/>
        </w:rPr>
        <w:t>December 2017.</w:t>
      </w:r>
    </w:p>
    <w:p w14:paraId="2992E0ED" w14:textId="4937DA8D" w:rsidR="00F372A2" w:rsidRDefault="00F372A2" w:rsidP="00F372A2">
      <w:pPr>
        <w:pBdr>
          <w:top w:val="single" w:sz="4" w:space="1" w:color="auto"/>
          <w:left w:val="single" w:sz="4" w:space="4" w:color="auto"/>
          <w:bottom w:val="single" w:sz="4" w:space="1" w:color="auto"/>
          <w:right w:val="single" w:sz="4" w:space="4" w:color="auto"/>
        </w:pBdr>
        <w:shd w:val="clear" w:color="auto" w:fill="FDE9D9" w:themeFill="accent6" w:themeFillTint="33"/>
        <w:rPr>
          <w:lang w:val="en"/>
        </w:rPr>
      </w:pPr>
      <w:r>
        <w:rPr>
          <w:lang w:val="en"/>
        </w:rPr>
        <w:t xml:space="preserve">The Government will implement interim tuition assurance arrangements for the 2018 calendar year, for </w:t>
      </w:r>
      <w:r w:rsidR="00A3051D">
        <w:rPr>
          <w:lang w:val="en"/>
        </w:rPr>
        <w:t xml:space="preserve">domestic </w:t>
      </w:r>
      <w:r>
        <w:rPr>
          <w:lang w:val="en"/>
        </w:rPr>
        <w:t xml:space="preserve">VET Student Loans, </w:t>
      </w:r>
      <w:r w:rsidR="00A3051D">
        <w:rPr>
          <w:lang w:val="en"/>
        </w:rPr>
        <w:t xml:space="preserve">non-university </w:t>
      </w:r>
      <w:r>
        <w:rPr>
          <w:lang w:val="en"/>
        </w:rPr>
        <w:t xml:space="preserve">FEE-HELP and remaining grandfathered VET FEE-HELP students, while it considers </w:t>
      </w:r>
      <w:r w:rsidR="00A3051D">
        <w:rPr>
          <w:lang w:val="en"/>
        </w:rPr>
        <w:t xml:space="preserve">future </w:t>
      </w:r>
      <w:r>
        <w:rPr>
          <w:lang w:val="en"/>
        </w:rPr>
        <w:t>tuition assurance arrangements beyond 2018.</w:t>
      </w:r>
    </w:p>
    <w:p w14:paraId="02CBBC84" w14:textId="5DCD5572" w:rsidR="00F372A2" w:rsidRDefault="00F372A2" w:rsidP="00F372A2">
      <w:pPr>
        <w:pBdr>
          <w:top w:val="single" w:sz="4" w:space="1" w:color="auto"/>
          <w:left w:val="single" w:sz="4" w:space="4" w:color="auto"/>
          <w:bottom w:val="single" w:sz="4" w:space="1" w:color="auto"/>
          <w:right w:val="single" w:sz="4" w:space="4" w:color="auto"/>
        </w:pBdr>
        <w:shd w:val="clear" w:color="auto" w:fill="FDE9D9" w:themeFill="accent6" w:themeFillTint="33"/>
        <w:rPr>
          <w:lang w:val="en"/>
        </w:rPr>
      </w:pPr>
      <w:r>
        <w:rPr>
          <w:lang w:val="en"/>
        </w:rPr>
        <w:t xml:space="preserve">Please refer to the Tuition Assurance and Provider Closures website page at </w:t>
      </w:r>
      <w:hyperlink r:id="rId42" w:history="1">
        <w:r w:rsidR="006A670F" w:rsidRPr="00515E2C">
          <w:rPr>
            <w:rStyle w:val="Hyperlink"/>
            <w:lang w:val="en"/>
          </w:rPr>
          <w:t>www.education.gov.au/tuition-assurance-and-provider-closures</w:t>
        </w:r>
      </w:hyperlink>
      <w:r>
        <w:rPr>
          <w:lang w:val="en"/>
        </w:rPr>
        <w:t xml:space="preserve">, which will provide details of the Tuition Assurance arrangements as information becomes available. </w:t>
      </w:r>
    </w:p>
    <w:p w14:paraId="5CEC9D51" w14:textId="17D727FC" w:rsidR="00983AE6" w:rsidRPr="006D19A7" w:rsidRDefault="00027F5B" w:rsidP="00A0727A">
      <w:pPr>
        <w:pStyle w:val="Heading2"/>
        <w:numPr>
          <w:ilvl w:val="1"/>
          <w:numId w:val="71"/>
        </w:numPr>
        <w:rPr>
          <w:rFonts w:eastAsia="Times New Roman"/>
        </w:rPr>
      </w:pPr>
      <w:bookmarkStart w:id="135" w:name="_Toc500954164"/>
      <w:bookmarkStart w:id="136" w:name="_Toc500954165"/>
      <w:bookmarkStart w:id="137" w:name="_Toc500954167"/>
      <w:bookmarkStart w:id="138" w:name="_Toc481649790"/>
      <w:bookmarkStart w:id="139" w:name="_Toc481650266"/>
      <w:bookmarkStart w:id="140" w:name="_Toc471374355"/>
      <w:bookmarkStart w:id="141" w:name="_Toc471374356"/>
      <w:bookmarkStart w:id="142" w:name="_Toc471374357"/>
      <w:bookmarkStart w:id="143" w:name="_Toc500954198"/>
      <w:bookmarkStart w:id="144" w:name="_Toc500954200"/>
      <w:bookmarkStart w:id="145" w:name="_Toc500954201"/>
      <w:bookmarkStart w:id="146" w:name="_Toc500954203"/>
      <w:bookmarkStart w:id="147" w:name="_Toc481649794"/>
      <w:bookmarkStart w:id="148" w:name="_Toc481650270"/>
      <w:bookmarkStart w:id="149" w:name="_Toc500954205"/>
      <w:bookmarkStart w:id="150" w:name="_Toc500954206"/>
      <w:bookmarkStart w:id="151" w:name="_Toc500954207"/>
      <w:bookmarkStart w:id="152" w:name="_Toc500954208"/>
      <w:bookmarkStart w:id="153" w:name="_Toc500954209"/>
      <w:bookmarkStart w:id="154" w:name="_Toc500954210"/>
      <w:bookmarkStart w:id="155" w:name="_Toc500954218"/>
      <w:bookmarkStart w:id="156" w:name="_Toc477960158"/>
      <w:bookmarkStart w:id="157" w:name="_Toc477960598"/>
      <w:bookmarkStart w:id="158" w:name="_Toc477961037"/>
      <w:bookmarkStart w:id="159" w:name="_Toc477961515"/>
      <w:bookmarkStart w:id="160" w:name="_Toc477961997"/>
      <w:bookmarkStart w:id="161" w:name="_Toc477962484"/>
      <w:bookmarkStart w:id="162" w:name="_Toc477962970"/>
      <w:bookmarkStart w:id="163" w:name="_Toc477963457"/>
      <w:bookmarkStart w:id="164" w:name="_Toc478042644"/>
      <w:bookmarkStart w:id="165" w:name="_Toc478366891"/>
      <w:bookmarkStart w:id="166" w:name="_Toc479083492"/>
      <w:bookmarkStart w:id="167" w:name="_External_dispute_resolution"/>
      <w:bookmarkStart w:id="168" w:name="_Toc477960159"/>
      <w:bookmarkStart w:id="169" w:name="_Toc477960599"/>
      <w:bookmarkStart w:id="170" w:name="_Toc477961038"/>
      <w:bookmarkStart w:id="171" w:name="_Toc477961516"/>
      <w:bookmarkStart w:id="172" w:name="_Toc477961998"/>
      <w:bookmarkStart w:id="173" w:name="_Toc477962485"/>
      <w:bookmarkStart w:id="174" w:name="_Toc477962971"/>
      <w:bookmarkStart w:id="175" w:name="_Toc477963458"/>
      <w:bookmarkStart w:id="176" w:name="_Toc478042645"/>
      <w:bookmarkStart w:id="177" w:name="_Toc478366892"/>
      <w:bookmarkStart w:id="178" w:name="_Toc479083493"/>
      <w:bookmarkStart w:id="179" w:name="_Toc500954220"/>
      <w:bookmarkStart w:id="180" w:name="_Ongoing_information_requirements"/>
      <w:bookmarkStart w:id="181" w:name="_Toc500954221"/>
      <w:bookmarkStart w:id="182" w:name="_Toc477960021"/>
      <w:bookmarkStart w:id="183" w:name="_Toc48322281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eastAsia="Times New Roman"/>
        </w:rPr>
        <w:t xml:space="preserve">  </w:t>
      </w:r>
      <w:bookmarkStart w:id="184" w:name="_Toc501621190"/>
      <w:r w:rsidR="00983AE6" w:rsidRPr="006D19A7">
        <w:rPr>
          <w:rFonts w:eastAsia="Times New Roman"/>
        </w:rPr>
        <w:t>Ongoing information requirements</w:t>
      </w:r>
      <w:bookmarkEnd w:id="182"/>
      <w:bookmarkEnd w:id="183"/>
      <w:bookmarkEnd w:id="184"/>
    </w:p>
    <w:p w14:paraId="7C5C152C" w14:textId="0286B9FF" w:rsidR="00983AE6" w:rsidRPr="006F0624" w:rsidRDefault="00983AE6" w:rsidP="00983AE6">
      <w:bookmarkStart w:id="185" w:name="_Toc474396033"/>
      <w:bookmarkStart w:id="186" w:name="_Toc474398237"/>
      <w:bookmarkStart w:id="187" w:name="_Toc474413845"/>
      <w:bookmarkStart w:id="188" w:name="_Toc474485328"/>
      <w:bookmarkStart w:id="189" w:name="_Toc470008712"/>
      <w:bookmarkEnd w:id="185"/>
      <w:bookmarkEnd w:id="186"/>
      <w:bookmarkEnd w:id="187"/>
      <w:bookmarkEnd w:id="188"/>
      <w:r w:rsidRPr="006F0624">
        <w:t>Approved course providers are required to provide certain information to the department on an ongoing basis. Failure to do so may result in a civil penalty</w:t>
      </w:r>
      <w:r>
        <w:t xml:space="preserve"> of 60 penalty units </w:t>
      </w:r>
      <w:r w:rsidRPr="00C33A11">
        <w:rPr>
          <w:rStyle w:val="ReferenceChar"/>
        </w:rPr>
        <w:t>[Act s 52(</w:t>
      </w:r>
      <w:r w:rsidR="00872D40">
        <w:rPr>
          <w:rStyle w:val="ReferenceChar"/>
        </w:rPr>
        <w:t>4</w:t>
      </w:r>
      <w:r w:rsidRPr="00C33A11">
        <w:rPr>
          <w:rStyle w:val="ReferenceChar"/>
        </w:rPr>
        <w:t>)]</w:t>
      </w:r>
      <w:r w:rsidR="00872D40">
        <w:rPr>
          <w:rStyle w:val="ReferenceChar"/>
        </w:rPr>
        <w:t xml:space="preserve"> </w:t>
      </w:r>
      <w:r w:rsidR="00872D40" w:rsidRPr="00872D40">
        <w:t>and is an offence of strict liability</w:t>
      </w:r>
      <w:r w:rsidR="00872D40" w:rsidRPr="00872D40">
        <w:rPr>
          <w:b/>
        </w:rPr>
        <w:t xml:space="preserve"> </w:t>
      </w:r>
      <w:r w:rsidR="00872D40">
        <w:rPr>
          <w:rStyle w:val="ReferenceChar"/>
        </w:rPr>
        <w:t>[Act s 52(5)]</w:t>
      </w:r>
      <w:r>
        <w:t>.</w:t>
      </w:r>
    </w:p>
    <w:p w14:paraId="242DFC95" w14:textId="3DCDB7C2" w:rsidR="00983AE6" w:rsidRPr="00C33A11" w:rsidRDefault="00983AE6" w:rsidP="00A0727A">
      <w:pPr>
        <w:pStyle w:val="Heading3"/>
        <w:numPr>
          <w:ilvl w:val="2"/>
          <w:numId w:val="71"/>
        </w:numPr>
      </w:pPr>
      <w:bookmarkStart w:id="190" w:name="_Toc483222817"/>
      <w:bookmarkStart w:id="191" w:name="_Toc501621191"/>
      <w:r w:rsidRPr="00C33A11">
        <w:t>Notice of events</w:t>
      </w:r>
      <w:bookmarkEnd w:id="190"/>
      <w:bookmarkEnd w:id="191"/>
      <w:r w:rsidRPr="00C33A11">
        <w:t xml:space="preserve"> </w:t>
      </w:r>
    </w:p>
    <w:p w14:paraId="133FB33A" w14:textId="52CFEF04" w:rsidR="00983AE6" w:rsidRPr="00C0519F" w:rsidRDefault="00983AE6" w:rsidP="001D7DE1">
      <w:pPr>
        <w:pStyle w:val="Heading5"/>
      </w:pPr>
      <w:bookmarkStart w:id="192" w:name="_Toc470008715"/>
      <w:bookmarkStart w:id="193" w:name="_Toc481505172"/>
      <w:bookmarkStart w:id="194" w:name="_Toc483209483"/>
      <w:bookmarkEnd w:id="189"/>
      <w:r w:rsidRPr="00C0519F">
        <w:t xml:space="preserve">Students who do not want fees to be paid </w:t>
      </w:r>
      <w:bookmarkEnd w:id="192"/>
      <w:r w:rsidRPr="00C0519F">
        <w:t xml:space="preserve">with </w:t>
      </w:r>
      <w:r w:rsidR="00454ED5">
        <w:t>VET Student Loans</w:t>
      </w:r>
      <w:bookmarkEnd w:id="193"/>
      <w:bookmarkEnd w:id="194"/>
    </w:p>
    <w:p w14:paraId="0DCB7C69" w14:textId="77777777" w:rsidR="00983AE6" w:rsidRDefault="00983AE6" w:rsidP="00983AE6">
      <w:r w:rsidRPr="00957814">
        <w:t xml:space="preserve">Some students who have requested a loan for their course may decide to pay upfront for a particular unit of study or part of a course. If a student advises their provider, before the census day for a part of a course, that the student does not want the student’s VET student loan to be used to pay tuition fees for the part of the course, the provider must inform the Secretary as soon as practicable </w:t>
      </w:r>
      <w:r w:rsidRPr="00C33A11">
        <w:rPr>
          <w:rStyle w:val="ReferenceChar"/>
        </w:rPr>
        <w:t>[Rules s 107]</w:t>
      </w:r>
      <w:r w:rsidRPr="00957814">
        <w:t>.</w:t>
      </w:r>
      <w:r w:rsidRPr="005C6E5A">
        <w:t xml:space="preserve"> </w:t>
      </w:r>
    </w:p>
    <w:p w14:paraId="52706E6F" w14:textId="77777777" w:rsidR="00983AE6" w:rsidRDefault="00983AE6" w:rsidP="00983AE6">
      <w:pPr>
        <w:rPr>
          <w:rStyle w:val="Strong"/>
        </w:rPr>
      </w:pPr>
      <w:r w:rsidRPr="00C33A11">
        <w:rPr>
          <w:rStyle w:val="Strong"/>
        </w:rPr>
        <w:t>The provider informs the Secretary of the student’s decision by reporting the student as ‘paid upfront’ for the unit or part of a course in line with the usual reporting requirements, with a zero loan amount being reported.</w:t>
      </w:r>
    </w:p>
    <w:p w14:paraId="3E496B32" w14:textId="77777777" w:rsidR="00F57C40" w:rsidRDefault="00F57C40" w:rsidP="00983AE6">
      <w:pPr>
        <w:rPr>
          <w:rStyle w:val="Strong"/>
          <w:b w:val="0"/>
        </w:rPr>
      </w:pPr>
      <w:r w:rsidRPr="00F57C40">
        <w:rPr>
          <w:rStyle w:val="Strong"/>
          <w:b w:val="0"/>
        </w:rPr>
        <w:t>If the student wishes to withdraw from study, they will need to follow the withdrawal procedure on the VET Student Loans provider's website.</w:t>
      </w:r>
      <w:r>
        <w:rPr>
          <w:rStyle w:val="Strong"/>
          <w:b w:val="0"/>
        </w:rPr>
        <w:t xml:space="preserve"> </w:t>
      </w:r>
      <w:r w:rsidRPr="00F57C40">
        <w:rPr>
          <w:rStyle w:val="Strong"/>
          <w:b w:val="0"/>
        </w:rPr>
        <w:t>If the student has withdrawn prior to the census date, the provider will not be required to report the student in HEIMS.</w:t>
      </w:r>
    </w:p>
    <w:p w14:paraId="21A232F6" w14:textId="77777777" w:rsidR="00456357" w:rsidRPr="00F57C40" w:rsidRDefault="00456357" w:rsidP="00983AE6">
      <w:pPr>
        <w:rPr>
          <w:rStyle w:val="Strong"/>
          <w:b w:val="0"/>
        </w:rPr>
      </w:pPr>
      <w:r>
        <w:rPr>
          <w:rStyle w:val="Strong"/>
          <w:b w:val="0"/>
        </w:rPr>
        <w:t xml:space="preserve">Note:  </w:t>
      </w:r>
      <w:r w:rsidRPr="00456357">
        <w:rPr>
          <w:rStyle w:val="Strong"/>
          <w:b w:val="0"/>
        </w:rPr>
        <w:t>A provider cannot delete an eCAF once it has been submitted by a student. However, a provider may be able to delete an eCAF that has not been submitted by the student, if the student does not wish to access a VET Student Loan.</w:t>
      </w:r>
    </w:p>
    <w:p w14:paraId="6C972F96" w14:textId="77777777" w:rsidR="00983AE6" w:rsidRPr="00C0519F" w:rsidRDefault="00983AE6" w:rsidP="001D7DE1">
      <w:pPr>
        <w:pStyle w:val="Heading5"/>
      </w:pPr>
      <w:bookmarkStart w:id="195" w:name="_Toc470008717"/>
      <w:bookmarkStart w:id="196" w:name="_Toc481505174"/>
      <w:bookmarkStart w:id="197" w:name="_Toc483209485"/>
      <w:r w:rsidRPr="00C0519F">
        <w:t>Events affecting capacity to comply with Act</w:t>
      </w:r>
      <w:bookmarkEnd w:id="195"/>
      <w:bookmarkEnd w:id="196"/>
      <w:bookmarkEnd w:id="197"/>
    </w:p>
    <w:p w14:paraId="7F097FFB" w14:textId="77777777" w:rsidR="00983AE6" w:rsidRDefault="00983AE6" w:rsidP="00983AE6">
      <w:r>
        <w:t>A</w:t>
      </w:r>
      <w:r w:rsidRPr="00957814">
        <w:t xml:space="preserve"> provider must, as soon as practicable, notify the Secretary in writing of any event affecting the provider, any of its key personnel or a related body corporate of the provider that is likely to affect the provider’s capacity to comply with the Act or any instrument made under the Act </w:t>
      </w:r>
      <w:r w:rsidRPr="00C33A11">
        <w:rPr>
          <w:rStyle w:val="ReferenceChar"/>
        </w:rPr>
        <w:t>[Rules s 109]</w:t>
      </w:r>
      <w:r w:rsidRPr="00957814">
        <w:t>.</w:t>
      </w:r>
      <w:r>
        <w:t xml:space="preserve"> For example, this might be an event which goes to the provider’s or its key personnel’s ability to meet the fit and proper person requirements – such as if a member of the key personnel goes bankrupt.</w:t>
      </w:r>
    </w:p>
    <w:p w14:paraId="2A7FAF01" w14:textId="77777777" w:rsidR="00983AE6" w:rsidRPr="00C0519F" w:rsidRDefault="00983AE6" w:rsidP="001D7DE1">
      <w:pPr>
        <w:pStyle w:val="Heading5"/>
      </w:pPr>
      <w:bookmarkStart w:id="198" w:name="_Toc470008718"/>
      <w:bookmarkStart w:id="199" w:name="_Toc481505175"/>
      <w:bookmarkStart w:id="200" w:name="_Toc483209486"/>
      <w:r w:rsidRPr="00C0519F">
        <w:t>Changes to provider</w:t>
      </w:r>
      <w:bookmarkEnd w:id="198"/>
      <w:bookmarkEnd w:id="199"/>
      <w:bookmarkEnd w:id="200"/>
    </w:p>
    <w:p w14:paraId="7F6985B6" w14:textId="77777777" w:rsidR="00983AE6" w:rsidRPr="00957814" w:rsidRDefault="00983AE6" w:rsidP="00983AE6">
      <w:r>
        <w:t xml:space="preserve">A </w:t>
      </w:r>
      <w:r w:rsidRPr="00957814">
        <w:t>provider must, as soon as practicable, notify the Secretary in writing of any of the following</w:t>
      </w:r>
      <w:r>
        <w:t xml:space="preserve"> </w:t>
      </w:r>
      <w:r>
        <w:rPr>
          <w:rStyle w:val="ReferenceChar"/>
        </w:rPr>
        <w:t>[Rules </w:t>
      </w:r>
      <w:r w:rsidRPr="00C33A11">
        <w:rPr>
          <w:rStyle w:val="ReferenceChar"/>
        </w:rPr>
        <w:t>s</w:t>
      </w:r>
      <w:r>
        <w:rPr>
          <w:rStyle w:val="ReferenceChar"/>
        </w:rPr>
        <w:t> </w:t>
      </w:r>
      <w:r w:rsidRPr="00C33A11">
        <w:rPr>
          <w:rStyle w:val="ReferenceChar"/>
        </w:rPr>
        <w:t>110]</w:t>
      </w:r>
      <w:r w:rsidRPr="00957814">
        <w:t>:</w:t>
      </w:r>
    </w:p>
    <w:p w14:paraId="0E3B9AD8" w14:textId="70BB1269" w:rsidR="00983AE6" w:rsidRPr="00957814" w:rsidRDefault="00983AE6" w:rsidP="00983AE6">
      <w:pPr>
        <w:pStyle w:val="ListBullet"/>
      </w:pPr>
      <w:r w:rsidRPr="00957814">
        <w:lastRenderedPageBreak/>
        <w:t>a change to the provider’s legal name, or to the business name the provider uses for delivering vocational education</w:t>
      </w:r>
      <w:r>
        <w:t xml:space="preserve"> and training</w:t>
      </w:r>
    </w:p>
    <w:p w14:paraId="1FB01089" w14:textId="77777777" w:rsidR="00983AE6" w:rsidRPr="00957814" w:rsidRDefault="00983AE6" w:rsidP="00983AE6">
      <w:pPr>
        <w:pStyle w:val="ListBullet"/>
      </w:pPr>
      <w:r w:rsidRPr="00957814">
        <w:t>a change to the provider’s key personne</w:t>
      </w:r>
      <w:r>
        <w:t>l and the reason for the change</w:t>
      </w:r>
    </w:p>
    <w:p w14:paraId="407716DC" w14:textId="77777777" w:rsidR="00983AE6" w:rsidRPr="00957814" w:rsidRDefault="00983AE6" w:rsidP="00983AE6">
      <w:pPr>
        <w:pStyle w:val="ListBullet"/>
      </w:pPr>
      <w:r w:rsidRPr="00957814">
        <w:t>planned changes to the ownership of the provider or the corporate structure of the provider;</w:t>
      </w:r>
    </w:p>
    <w:p w14:paraId="33B4CD84" w14:textId="77777777" w:rsidR="00983AE6" w:rsidRPr="00957814" w:rsidRDefault="00983AE6" w:rsidP="00983AE6">
      <w:pPr>
        <w:pStyle w:val="ListBullet"/>
      </w:pPr>
      <w:r w:rsidRPr="00957814">
        <w:t>any major proj</w:t>
      </w:r>
      <w:r>
        <w:t>ects undertaken by the provider</w:t>
      </w:r>
    </w:p>
    <w:p w14:paraId="3A3D0164" w14:textId="77777777" w:rsidR="00983AE6" w:rsidRDefault="00983AE6" w:rsidP="00983AE6">
      <w:pPr>
        <w:pStyle w:val="ListBullet"/>
      </w:pPr>
      <w:r w:rsidRPr="00957814">
        <w:t>any major purchases of assets by the provider.</w:t>
      </w:r>
    </w:p>
    <w:p w14:paraId="19CD3C54" w14:textId="77777777" w:rsidR="00983AE6" w:rsidRPr="0011252B" w:rsidRDefault="00983AE6" w:rsidP="001D7DE1">
      <w:pPr>
        <w:pStyle w:val="Heading5"/>
      </w:pPr>
      <w:r w:rsidRPr="0011252B">
        <w:t>Giving notice to the Secretary</w:t>
      </w:r>
    </w:p>
    <w:p w14:paraId="719024D3" w14:textId="77777777" w:rsidR="000C58DC" w:rsidRDefault="00983AE6" w:rsidP="000C58DC">
      <w:r>
        <w:t xml:space="preserve">The provider gives written notice to the Secretary of </w:t>
      </w:r>
      <w:r w:rsidR="000775A9">
        <w:t xml:space="preserve">these events or changes </w:t>
      </w:r>
      <w:r>
        <w:t xml:space="preserve">by accessing the </w:t>
      </w:r>
      <w:r w:rsidR="007C3509">
        <w:t>p</w:t>
      </w:r>
      <w:r w:rsidRPr="00E03E53">
        <w:t>rovider online enquiry form at</w:t>
      </w:r>
      <w:r w:rsidR="000C58DC">
        <w:t>:</w:t>
      </w:r>
      <w:r w:rsidRPr="00E03E53">
        <w:t xml:space="preserve"> </w:t>
      </w:r>
      <w:hyperlink r:id="rId43" w:history="1">
        <w:r w:rsidR="000C58DC" w:rsidRPr="000C58DC">
          <w:rPr>
            <w:rStyle w:val="Hyperlink"/>
          </w:rPr>
          <w:t>www.education.gov.au/information-vet-student-loans-approved-providers</w:t>
        </w:r>
      </w:hyperlink>
      <w:r w:rsidR="000C58DC">
        <w:rPr>
          <w:b/>
        </w:rPr>
        <w:t>.</w:t>
      </w:r>
    </w:p>
    <w:p w14:paraId="41E1A957" w14:textId="77777777" w:rsidR="005C79FB" w:rsidRDefault="005C79FB" w:rsidP="005C79FB">
      <w:r>
        <w:t xml:space="preserve">Under ‘Frequently asked questions’ scroll to the last option on the list (‘Click here if you still need help’), then choose ‘New </w:t>
      </w:r>
      <w:r w:rsidR="00DF7FE6">
        <w:t xml:space="preserve">VET </w:t>
      </w:r>
      <w:r>
        <w:t>Student Loans’ from the drop down list and then choose ‘Other’. Insert in the enquiry text field:</w:t>
      </w:r>
    </w:p>
    <w:p w14:paraId="092A3DA9" w14:textId="77777777" w:rsidR="00983AE6" w:rsidRPr="00C33A11" w:rsidRDefault="00983AE6" w:rsidP="004835D3">
      <w:pPr>
        <w:rPr>
          <w:rStyle w:val="Emphasis"/>
        </w:rPr>
      </w:pPr>
      <w:r w:rsidRPr="00C33A11">
        <w:rPr>
          <w:rStyle w:val="Emphasis"/>
        </w:rPr>
        <w:t xml:space="preserve">Notice – </w:t>
      </w:r>
      <w:r w:rsidR="000775A9">
        <w:rPr>
          <w:rStyle w:val="Emphasis"/>
        </w:rPr>
        <w:t>Provider Changes/Events</w:t>
      </w:r>
      <w:r w:rsidRPr="00C33A11">
        <w:rPr>
          <w:rStyle w:val="Emphasis"/>
        </w:rPr>
        <w:t xml:space="preserve"> - [provider name]</w:t>
      </w:r>
    </w:p>
    <w:p w14:paraId="348C21B6" w14:textId="415DE4F9" w:rsidR="00983AE6" w:rsidRPr="000C1BD2" w:rsidRDefault="00983AE6" w:rsidP="00983AE6">
      <w:r>
        <w:t xml:space="preserve">Please refer to </w:t>
      </w:r>
      <w:hyperlink w:anchor="_5.3_When_Secretary" w:history="1">
        <w:r w:rsidR="00B37157">
          <w:rPr>
            <w:rStyle w:val="Hyperlink"/>
          </w:rPr>
          <w:t>section 5.3</w:t>
        </w:r>
      </w:hyperlink>
      <w:r>
        <w:t xml:space="preserve"> regarding when the Secretary is not required to pay a loan amount to a provider – this includes where the Secretary suspects on reasonable grounds that a provider is not complying with this Act </w:t>
      </w:r>
      <w:r w:rsidRPr="00C33A11">
        <w:rPr>
          <w:rStyle w:val="ReferenceChar"/>
        </w:rPr>
        <w:t>[Act s 20]</w:t>
      </w:r>
      <w:r>
        <w:t xml:space="preserve">. The above-mentioned notifiable events may be relevant to the Secretary forming a view that the provider is not complying with the Act.  </w:t>
      </w:r>
    </w:p>
    <w:p w14:paraId="7EF6081F" w14:textId="5A1F3987" w:rsidR="00983AE6" w:rsidRPr="00C33A11" w:rsidRDefault="00983AE6" w:rsidP="00A0727A">
      <w:pPr>
        <w:pStyle w:val="Heading3"/>
        <w:numPr>
          <w:ilvl w:val="2"/>
          <w:numId w:val="71"/>
        </w:numPr>
      </w:pPr>
      <w:bookmarkStart w:id="201" w:name="_Other_events"/>
      <w:bookmarkStart w:id="202" w:name="_Toc470008719"/>
      <w:bookmarkStart w:id="203" w:name="_Toc483222818"/>
      <w:bookmarkStart w:id="204" w:name="_Toc501621192"/>
      <w:bookmarkEnd w:id="201"/>
      <w:r w:rsidRPr="00C33A11">
        <w:t>Other events</w:t>
      </w:r>
      <w:bookmarkEnd w:id="202"/>
      <w:bookmarkEnd w:id="203"/>
      <w:bookmarkEnd w:id="204"/>
    </w:p>
    <w:p w14:paraId="3FA298A1" w14:textId="77777777" w:rsidR="00983AE6" w:rsidRPr="00094111" w:rsidRDefault="00983AE6" w:rsidP="00983AE6">
      <w:r w:rsidRPr="005668EF">
        <w:t>A provider must give written notice to the Secretary of any of the following events within 24 hours of the event occurring</w:t>
      </w:r>
      <w:r>
        <w:t xml:space="preserve"> </w:t>
      </w:r>
      <w:r w:rsidRPr="005668EF">
        <w:rPr>
          <w:rStyle w:val="ReferenceChar"/>
        </w:rPr>
        <w:t>[Rules s 111(1)]</w:t>
      </w:r>
      <w:r w:rsidRPr="00094111">
        <w:t>:</w:t>
      </w:r>
    </w:p>
    <w:p w14:paraId="5BC62CA2" w14:textId="77777777" w:rsidR="00983AE6" w:rsidRPr="005668EF" w:rsidRDefault="00983AE6" w:rsidP="00983AE6">
      <w:pPr>
        <w:pStyle w:val="ListBullet"/>
      </w:pPr>
      <w:r w:rsidRPr="005668EF">
        <w:t>the provider ceases to provide an approved course</w:t>
      </w:r>
    </w:p>
    <w:p w14:paraId="5CAB1C04" w14:textId="77777777" w:rsidR="00983AE6" w:rsidRPr="005668EF" w:rsidRDefault="00983AE6" w:rsidP="00983AE6">
      <w:pPr>
        <w:pStyle w:val="ListBullet"/>
      </w:pPr>
      <w:r w:rsidRPr="005668EF">
        <w:t>notice is served on the provider, or proceedings are taken to</w:t>
      </w:r>
    </w:p>
    <w:p w14:paraId="2B5EA523" w14:textId="77777777" w:rsidR="00983AE6" w:rsidRPr="00094111" w:rsidRDefault="00983AE6" w:rsidP="00983AE6">
      <w:pPr>
        <w:pStyle w:val="ListBullet3"/>
        <w:numPr>
          <w:ilvl w:val="2"/>
          <w:numId w:val="27"/>
        </w:numPr>
      </w:pPr>
      <w:r w:rsidRPr="00094111">
        <w:t xml:space="preserve">cancel the provider’s incorporation or registration under the </w:t>
      </w:r>
      <w:r w:rsidRPr="00094111">
        <w:rPr>
          <w:i/>
        </w:rPr>
        <w:t>Corporations Act 2001</w:t>
      </w:r>
      <w:r>
        <w:t xml:space="preserve"> or similar legislation</w:t>
      </w:r>
      <w:r w:rsidRPr="00094111">
        <w:t xml:space="preserve"> or</w:t>
      </w:r>
    </w:p>
    <w:p w14:paraId="68F207D4" w14:textId="77777777" w:rsidR="00983AE6" w:rsidRPr="00094111" w:rsidRDefault="00983AE6" w:rsidP="00983AE6">
      <w:pPr>
        <w:pStyle w:val="ListBullet3"/>
        <w:numPr>
          <w:ilvl w:val="2"/>
          <w:numId w:val="27"/>
        </w:numPr>
      </w:pPr>
      <w:r w:rsidRPr="00094111">
        <w:t>dissolve</w:t>
      </w:r>
      <w:r>
        <w:t xml:space="preserve"> the provider as a legal entity</w:t>
      </w:r>
    </w:p>
    <w:p w14:paraId="2823413C" w14:textId="77777777" w:rsidR="00983AE6" w:rsidRPr="005668EF" w:rsidRDefault="00983AE6" w:rsidP="00983AE6">
      <w:pPr>
        <w:pStyle w:val="ListBullet"/>
      </w:pPr>
      <w:r w:rsidRPr="005668EF">
        <w:t xml:space="preserve">the provider comes under a form of external administration referred to in subsection 600H(2) of the </w:t>
      </w:r>
      <w:r w:rsidRPr="006A670F">
        <w:rPr>
          <w:i/>
        </w:rPr>
        <w:t>Corporations Act 2001</w:t>
      </w:r>
      <w:r w:rsidRPr="005668EF">
        <w:t xml:space="preserve"> or an equivalent arrangement</w:t>
      </w:r>
    </w:p>
    <w:p w14:paraId="6B8A5FE1" w14:textId="77777777" w:rsidR="00983AE6" w:rsidRPr="005668EF" w:rsidRDefault="00983AE6" w:rsidP="00983AE6">
      <w:pPr>
        <w:pStyle w:val="ListBullet"/>
      </w:pPr>
      <w:r w:rsidRPr="005668EF">
        <w:t xml:space="preserve">the provider fails to comply with a statutory demand within the meaning of section 459F of the </w:t>
      </w:r>
      <w:r w:rsidRPr="006A670F">
        <w:rPr>
          <w:i/>
        </w:rPr>
        <w:t>Corporations Act 2001</w:t>
      </w:r>
    </w:p>
    <w:p w14:paraId="368D26B6" w14:textId="77777777" w:rsidR="00983AE6" w:rsidRPr="005668EF" w:rsidRDefault="00983AE6" w:rsidP="00983AE6">
      <w:pPr>
        <w:pStyle w:val="ListBullet"/>
      </w:pPr>
      <w:r w:rsidRPr="005668EF">
        <w:t>the provider is unable to pay all of its debts when they become due</w:t>
      </w:r>
    </w:p>
    <w:p w14:paraId="6012E437" w14:textId="77777777" w:rsidR="00983AE6" w:rsidRPr="005668EF" w:rsidRDefault="00983AE6" w:rsidP="00983AE6">
      <w:pPr>
        <w:pStyle w:val="ListBullet"/>
      </w:pPr>
      <w:r w:rsidRPr="005668EF">
        <w:t>proceedings are initiated for an order for the provider’s winding up</w:t>
      </w:r>
    </w:p>
    <w:p w14:paraId="4FC9F27D" w14:textId="77777777" w:rsidR="00983AE6" w:rsidRPr="005668EF" w:rsidRDefault="00983AE6" w:rsidP="00983AE6">
      <w:pPr>
        <w:pStyle w:val="ListBullet"/>
      </w:pPr>
      <w:r w:rsidRPr="005668EF">
        <w:t>at a meeting of the provider, a resolution is made to wind up the provider.</w:t>
      </w:r>
    </w:p>
    <w:p w14:paraId="11687D74" w14:textId="77777777" w:rsidR="00983AE6" w:rsidRDefault="00983AE6" w:rsidP="00983AE6">
      <w:r w:rsidRPr="00094111">
        <w:t xml:space="preserve">If an approved course provider intends to cease providing a course after it starts but before it is completed, the provider must give the Secretary written notice of the intention as soon as practicable </w:t>
      </w:r>
      <w:r w:rsidRPr="005668EF">
        <w:rPr>
          <w:rStyle w:val="ReferenceChar"/>
        </w:rPr>
        <w:t>[Rules s 111(2)]</w:t>
      </w:r>
      <w:r w:rsidRPr="00094111">
        <w:t>.</w:t>
      </w:r>
    </w:p>
    <w:p w14:paraId="70A18F06" w14:textId="77777777" w:rsidR="000C58DC" w:rsidRDefault="00983AE6" w:rsidP="000C58DC">
      <w:r w:rsidRPr="00B72119">
        <w:t xml:space="preserve">The provider gives written notice to the Secretary of </w:t>
      </w:r>
      <w:r>
        <w:t>other</w:t>
      </w:r>
      <w:r w:rsidRPr="00B72119">
        <w:t xml:space="preserve"> events by </w:t>
      </w:r>
      <w:r>
        <w:t xml:space="preserve">accessing the </w:t>
      </w:r>
      <w:r w:rsidR="007C3509">
        <w:t>p</w:t>
      </w:r>
      <w:r w:rsidRPr="00E03E53">
        <w:t xml:space="preserve">rovider online enquiry form at </w:t>
      </w:r>
      <w:hyperlink r:id="rId44" w:history="1">
        <w:r w:rsidR="000C58DC" w:rsidRPr="000C58DC">
          <w:rPr>
            <w:rStyle w:val="Hyperlink"/>
          </w:rPr>
          <w:t>www.education.gov.au/information-vet-student-loans-approved-providers</w:t>
        </w:r>
      </w:hyperlink>
      <w:r w:rsidR="000C58DC">
        <w:t>.</w:t>
      </w:r>
    </w:p>
    <w:p w14:paraId="00F8C8C1" w14:textId="77777777" w:rsidR="005C79FB" w:rsidRDefault="005C79FB" w:rsidP="005C79FB">
      <w:r>
        <w:t>Under ‘Frequently asked questions’ scroll to the last option on the list (‘Click here if you stil</w:t>
      </w:r>
      <w:r w:rsidR="00DF7FE6">
        <w:t>l need help’), then choose ‘New</w:t>
      </w:r>
      <w:r>
        <w:t xml:space="preserve"> VET Student Loans’ from the drop down list and then choose ‘Other’. Insert in the enquiry text field:</w:t>
      </w:r>
    </w:p>
    <w:p w14:paraId="633A330F" w14:textId="77777777" w:rsidR="004E1D45" w:rsidRPr="00890BC8" w:rsidRDefault="00373C26" w:rsidP="00890BC8">
      <w:pPr>
        <w:rPr>
          <w:i/>
          <w:iCs/>
          <w:spacing w:val="10"/>
        </w:rPr>
      </w:pPr>
      <w:r w:rsidRPr="00C33A11">
        <w:rPr>
          <w:rStyle w:val="Emphasis"/>
        </w:rPr>
        <w:t xml:space="preserve">Notice – </w:t>
      </w:r>
      <w:r>
        <w:rPr>
          <w:rStyle w:val="Emphasis"/>
        </w:rPr>
        <w:t>Other events</w:t>
      </w:r>
      <w:r w:rsidRPr="00C33A11">
        <w:rPr>
          <w:rStyle w:val="Emphasis"/>
        </w:rPr>
        <w:t xml:space="preserve"> - [provider name]</w:t>
      </w:r>
      <w:r w:rsidR="004E1D45" w:rsidRPr="00890BC8">
        <w:rPr>
          <w:b/>
        </w:rPr>
        <w:t xml:space="preserve"> </w:t>
      </w:r>
    </w:p>
    <w:p w14:paraId="4AC5A0F7" w14:textId="77777777" w:rsidR="00983AE6" w:rsidRPr="005668EF" w:rsidRDefault="00983AE6" w:rsidP="00983AE6">
      <w:pPr>
        <w:pStyle w:val="Heading3"/>
      </w:pPr>
      <w:bookmarkStart w:id="205" w:name="_Toc483222819"/>
      <w:bookmarkStart w:id="206" w:name="_Toc501621193"/>
      <w:r w:rsidRPr="005668EF">
        <w:lastRenderedPageBreak/>
        <w:t>4.4.3   Information regarding displaced students</w:t>
      </w:r>
      <w:bookmarkEnd w:id="205"/>
      <w:bookmarkEnd w:id="206"/>
    </w:p>
    <w:p w14:paraId="1ABCF2DB" w14:textId="77777777" w:rsidR="00983AE6" w:rsidRPr="00250A90" w:rsidRDefault="00983AE6" w:rsidP="00983AE6">
      <w:r w:rsidRPr="00250A90">
        <w:t>If an approved course provider ceases to provide an approved course, the provider must give the Secretary the following information, in writing, within 3 business days</w:t>
      </w:r>
      <w:r>
        <w:t xml:space="preserve"> </w:t>
      </w:r>
      <w:r w:rsidRPr="005668EF">
        <w:rPr>
          <w:rStyle w:val="ReferenceChar"/>
        </w:rPr>
        <w:t>[Rules s 112]</w:t>
      </w:r>
      <w:r w:rsidRPr="00250A90">
        <w:t>:</w:t>
      </w:r>
    </w:p>
    <w:p w14:paraId="5DBD8E34" w14:textId="77777777" w:rsidR="00983AE6" w:rsidRPr="00250A90" w:rsidRDefault="00983AE6" w:rsidP="00983AE6">
      <w:pPr>
        <w:pStyle w:val="ListBullet"/>
      </w:pPr>
      <w:r>
        <w:t>the name of the course</w:t>
      </w:r>
    </w:p>
    <w:p w14:paraId="4C054824" w14:textId="77777777" w:rsidR="00983AE6" w:rsidRPr="00250A90" w:rsidRDefault="00983AE6" w:rsidP="00983AE6">
      <w:pPr>
        <w:pStyle w:val="ListBullet"/>
      </w:pPr>
      <w:r w:rsidRPr="00250A90">
        <w:t>the full name and contact details of each covered</w:t>
      </w:r>
      <w:r>
        <w:t xml:space="preserve"> student enrolled in the course</w:t>
      </w:r>
    </w:p>
    <w:p w14:paraId="01AD7276" w14:textId="77777777" w:rsidR="00983AE6" w:rsidRPr="00250A90" w:rsidRDefault="00983AE6" w:rsidP="00983AE6">
      <w:pPr>
        <w:pStyle w:val="ListBullet"/>
      </w:pPr>
      <w:r w:rsidRPr="00250A90">
        <w:t>the part or parts of the course that each</w:t>
      </w:r>
      <w:r>
        <w:t xml:space="preserve"> covered student is enrolled in</w:t>
      </w:r>
    </w:p>
    <w:p w14:paraId="760CC320" w14:textId="77777777" w:rsidR="00983AE6" w:rsidRPr="00250A90" w:rsidRDefault="00983AE6" w:rsidP="00983AE6">
      <w:pPr>
        <w:pStyle w:val="ListBullet"/>
      </w:pPr>
      <w:r w:rsidRPr="00250A90">
        <w:t>the amount of the tuition fees for each part of the course in which each covered student is enrolled</w:t>
      </w:r>
    </w:p>
    <w:p w14:paraId="62A68D8C" w14:textId="77777777" w:rsidR="00983AE6" w:rsidRPr="00485846" w:rsidRDefault="00983AE6" w:rsidP="00983AE6">
      <w:pPr>
        <w:pStyle w:val="ListBullet"/>
      </w:pPr>
      <w:r w:rsidRPr="00250A90">
        <w:t>details about the payment of those tuition fees, including the amounts that are covered fees</w:t>
      </w:r>
      <w:r w:rsidRPr="00094111">
        <w:t>.</w:t>
      </w:r>
    </w:p>
    <w:p w14:paraId="2A912C6C" w14:textId="6D1ADC94" w:rsidR="004D2B37" w:rsidRDefault="002D544F" w:rsidP="0070750F">
      <w:r w:rsidRPr="0070750F">
        <w:t xml:space="preserve">The provider gives written notice to the Secretary of this event by sending an email to </w:t>
      </w:r>
      <w:hyperlink r:id="rId45" w:history="1">
        <w:r w:rsidRPr="0070750F">
          <w:rPr>
            <w:rStyle w:val="Hyperlink"/>
          </w:rPr>
          <w:t>VETTuitionAssurance@education.gov.au</w:t>
        </w:r>
      </w:hyperlink>
      <w:r w:rsidRPr="0070750F">
        <w:t>.</w:t>
      </w:r>
    </w:p>
    <w:p w14:paraId="3A8CFB66" w14:textId="5EF9AE10" w:rsidR="00E00486" w:rsidRPr="0070750F" w:rsidRDefault="00E00486" w:rsidP="0070750F">
      <w:r>
        <w:t xml:space="preserve">Please also refer to arrangements for 2018 as published at </w:t>
      </w:r>
      <w:hyperlink r:id="rId46" w:history="1">
        <w:r w:rsidRPr="00515E2C">
          <w:rPr>
            <w:rStyle w:val="Hyperlink"/>
          </w:rPr>
          <w:t>www.education.gov.au/tuition-assurance-and-provider-closures</w:t>
        </w:r>
      </w:hyperlink>
      <w:r>
        <w:t xml:space="preserve">. </w:t>
      </w:r>
    </w:p>
    <w:p w14:paraId="1E61E8AE" w14:textId="77777777" w:rsidR="00983AE6" w:rsidRPr="005668EF" w:rsidRDefault="00983AE6" w:rsidP="0070750F">
      <w:pPr>
        <w:pStyle w:val="Heading3"/>
      </w:pPr>
      <w:bookmarkStart w:id="207" w:name="_4.4.4__"/>
      <w:bookmarkStart w:id="208" w:name="_Toc483222820"/>
      <w:bookmarkStart w:id="209" w:name="_Toc501621194"/>
      <w:bookmarkEnd w:id="207"/>
      <w:r w:rsidRPr="005668EF">
        <w:t>4.4.4   Annual financial statements</w:t>
      </w:r>
      <w:bookmarkEnd w:id="208"/>
      <w:bookmarkEnd w:id="209"/>
    </w:p>
    <w:p w14:paraId="2D280C97" w14:textId="73C9AE27" w:rsidR="00983AE6" w:rsidRPr="00250A90" w:rsidRDefault="00983AE6" w:rsidP="00983AE6">
      <w:r>
        <w:t>A</w:t>
      </w:r>
      <w:r w:rsidRPr="00250A90">
        <w:t xml:space="preserve"> provider (other than a </w:t>
      </w:r>
      <w:r w:rsidR="00E00486" w:rsidRPr="00250A90">
        <w:t>Listed Course Provider</w:t>
      </w:r>
      <w:r w:rsidRPr="00250A90">
        <w:t xml:space="preserve">) must give the Secretary general purpose financial statements for each financial year of the provider (within the meaning of section 323D of the </w:t>
      </w:r>
      <w:r w:rsidRPr="00250A90">
        <w:rPr>
          <w:i/>
        </w:rPr>
        <w:t>Corporations Act 2001</w:t>
      </w:r>
      <w:r w:rsidRPr="00250A90">
        <w:t>), within 3 months after the end of the financial year</w:t>
      </w:r>
      <w:r>
        <w:t xml:space="preserve"> </w:t>
      </w:r>
      <w:r w:rsidRPr="00EB14CD">
        <w:rPr>
          <w:rStyle w:val="ReferenceChar"/>
        </w:rPr>
        <w:t>[Rules s 113(1)]</w:t>
      </w:r>
      <w:r w:rsidRPr="00250A90">
        <w:t>.</w:t>
      </w:r>
    </w:p>
    <w:p w14:paraId="7477CB3A" w14:textId="77777777" w:rsidR="00983AE6" w:rsidRPr="00250A90" w:rsidRDefault="00983AE6" w:rsidP="00983AE6">
      <w:r w:rsidRPr="00250A90">
        <w:t>The financial statements must be</w:t>
      </w:r>
      <w:r>
        <w:t xml:space="preserve"> </w:t>
      </w:r>
      <w:r w:rsidRPr="00EB14CD">
        <w:rPr>
          <w:rStyle w:val="ReferenceChar"/>
        </w:rPr>
        <w:t>[Rules s 113(2)]</w:t>
      </w:r>
      <w:r w:rsidRPr="00250A90">
        <w:t>:</w:t>
      </w:r>
    </w:p>
    <w:p w14:paraId="32BC7020" w14:textId="77777777" w:rsidR="00983AE6" w:rsidRPr="00250A90" w:rsidRDefault="00983AE6" w:rsidP="00983AE6">
      <w:pPr>
        <w:pStyle w:val="ListBullet"/>
      </w:pPr>
      <w:r w:rsidRPr="00250A90">
        <w:t xml:space="preserve">prepared by a qualified accountant (within the meaning of the </w:t>
      </w:r>
      <w:r w:rsidRPr="00250A90">
        <w:rPr>
          <w:i/>
        </w:rPr>
        <w:t>Corporations Act 2001</w:t>
      </w:r>
      <w:r w:rsidRPr="00250A90">
        <w:t>) in accordance with applicable accounting standards; and</w:t>
      </w:r>
    </w:p>
    <w:p w14:paraId="02263F70" w14:textId="77777777" w:rsidR="00983AE6" w:rsidRPr="00250A90" w:rsidRDefault="00983AE6" w:rsidP="00983AE6">
      <w:pPr>
        <w:pStyle w:val="ListBullet"/>
      </w:pPr>
      <w:r w:rsidRPr="00250A90">
        <w:t>audited by a qualified auditor who is independent of the provide</w:t>
      </w:r>
      <w:r>
        <w:t>r</w:t>
      </w:r>
      <w:r w:rsidRPr="00250A90">
        <w:t>.</w:t>
      </w:r>
    </w:p>
    <w:p w14:paraId="105C6DED" w14:textId="77777777" w:rsidR="00983AE6" w:rsidRPr="00250A90" w:rsidRDefault="00983AE6" w:rsidP="00983AE6">
      <w:r w:rsidRPr="00250A90">
        <w:t>The financial statements must be accompanied by the following</w:t>
      </w:r>
      <w:r>
        <w:t xml:space="preserve"> </w:t>
      </w:r>
      <w:r w:rsidRPr="00EB14CD">
        <w:rPr>
          <w:rStyle w:val="ReferenceChar"/>
        </w:rPr>
        <w:t>[Rules s 113(3)]</w:t>
      </w:r>
      <w:r w:rsidRPr="00250A90">
        <w:t>:</w:t>
      </w:r>
    </w:p>
    <w:p w14:paraId="44F1E674" w14:textId="77777777" w:rsidR="00983AE6" w:rsidRPr="00250A90" w:rsidRDefault="00983AE6" w:rsidP="00983AE6">
      <w:pPr>
        <w:pStyle w:val="ListBullet"/>
      </w:pPr>
      <w:r w:rsidRPr="00250A90">
        <w:t>a</w:t>
      </w:r>
      <w:r>
        <w:t xml:space="preserve"> report by the auditor</w:t>
      </w:r>
    </w:p>
    <w:p w14:paraId="0F22DA51" w14:textId="77777777" w:rsidR="00983AE6" w:rsidRPr="00250A90" w:rsidRDefault="00983AE6" w:rsidP="00983AE6">
      <w:pPr>
        <w:pStyle w:val="ListBullet"/>
      </w:pPr>
      <w:r w:rsidRPr="00250A90">
        <w:t xml:space="preserve">a copy of the auditor’s independence declaration required under section 307C of the </w:t>
      </w:r>
      <w:r w:rsidRPr="00E00486">
        <w:rPr>
          <w:i/>
        </w:rPr>
        <w:t>Corporations Act 2001</w:t>
      </w:r>
    </w:p>
    <w:p w14:paraId="471E17AA" w14:textId="77777777" w:rsidR="00983AE6" w:rsidRPr="00250A90" w:rsidRDefault="00983AE6" w:rsidP="00983AE6">
      <w:pPr>
        <w:pStyle w:val="ListBullet"/>
      </w:pPr>
      <w:r w:rsidRPr="00250A90">
        <w:t>a declaration by a qualified accountant or auditor that the provider has, as at the date of the declaration, complied with all statutory obligations relating to the payment of the following:</w:t>
      </w:r>
    </w:p>
    <w:p w14:paraId="687E9E1C" w14:textId="77777777" w:rsidR="00983AE6" w:rsidRPr="00250A90" w:rsidRDefault="00983AE6" w:rsidP="00983AE6">
      <w:pPr>
        <w:pStyle w:val="ListBullet3"/>
        <w:numPr>
          <w:ilvl w:val="2"/>
          <w:numId w:val="28"/>
        </w:numPr>
      </w:pPr>
      <w:r>
        <w:t>company tax</w:t>
      </w:r>
    </w:p>
    <w:p w14:paraId="5C8491B4" w14:textId="77777777" w:rsidR="00983AE6" w:rsidRPr="00250A90" w:rsidRDefault="00983AE6" w:rsidP="00983AE6">
      <w:pPr>
        <w:pStyle w:val="ListBullet3"/>
        <w:numPr>
          <w:ilvl w:val="2"/>
          <w:numId w:val="28"/>
        </w:numPr>
      </w:pPr>
      <w:r>
        <w:t>goods and services tax</w:t>
      </w:r>
    </w:p>
    <w:p w14:paraId="64D6980E" w14:textId="77777777" w:rsidR="00983AE6" w:rsidRPr="00250A90" w:rsidRDefault="00983AE6" w:rsidP="00983AE6">
      <w:pPr>
        <w:pStyle w:val="ListBullet3"/>
        <w:numPr>
          <w:ilvl w:val="2"/>
          <w:numId w:val="28"/>
        </w:numPr>
      </w:pPr>
      <w:r w:rsidRPr="00250A90">
        <w:t>withholding tax, includin</w:t>
      </w:r>
      <w:r>
        <w:t>g withholding tax for employees</w:t>
      </w:r>
    </w:p>
    <w:p w14:paraId="17943FFC" w14:textId="77777777" w:rsidR="00983AE6" w:rsidRPr="00250A90" w:rsidRDefault="00983AE6" w:rsidP="00983AE6">
      <w:pPr>
        <w:pStyle w:val="ListBullet3"/>
        <w:numPr>
          <w:ilvl w:val="2"/>
          <w:numId w:val="28"/>
        </w:numPr>
      </w:pPr>
      <w:r>
        <w:t>payroll tax</w:t>
      </w:r>
    </w:p>
    <w:p w14:paraId="2D67536E" w14:textId="77777777" w:rsidR="00983AE6" w:rsidRPr="00250A90" w:rsidRDefault="00983AE6" w:rsidP="00983AE6">
      <w:pPr>
        <w:pStyle w:val="ListBullet3"/>
        <w:numPr>
          <w:ilvl w:val="2"/>
          <w:numId w:val="28"/>
        </w:numPr>
      </w:pPr>
      <w:r w:rsidRPr="00250A90">
        <w:t>superannuation guarantee for employees.</w:t>
      </w:r>
    </w:p>
    <w:p w14:paraId="6FF8753B" w14:textId="77777777" w:rsidR="00983AE6" w:rsidRPr="00250A90" w:rsidRDefault="00983AE6" w:rsidP="00983AE6">
      <w:r>
        <w:t>I</w:t>
      </w:r>
      <w:r w:rsidRPr="00250A90">
        <w:t>f the provider is part of a consolidated entity, the financial statements must be accompanied by</w:t>
      </w:r>
      <w:r>
        <w:t xml:space="preserve"> </w:t>
      </w:r>
      <w:r>
        <w:rPr>
          <w:rStyle w:val="ReferenceChar"/>
        </w:rPr>
        <w:t>[Rules </w:t>
      </w:r>
      <w:r w:rsidRPr="006907E1">
        <w:rPr>
          <w:rStyle w:val="ReferenceChar"/>
        </w:rPr>
        <w:t>s</w:t>
      </w:r>
      <w:r w:rsidR="00F33C83">
        <w:rPr>
          <w:rStyle w:val="ReferenceChar"/>
        </w:rPr>
        <w:t> </w:t>
      </w:r>
      <w:r w:rsidRPr="006907E1">
        <w:rPr>
          <w:rStyle w:val="ReferenceChar"/>
        </w:rPr>
        <w:t>113 (4)]</w:t>
      </w:r>
      <w:r w:rsidRPr="00250A90">
        <w:t>:</w:t>
      </w:r>
      <w:r w:rsidRPr="00784226">
        <w:rPr>
          <w:color w:val="3333FF"/>
          <w:sz w:val="16"/>
          <w:szCs w:val="16"/>
        </w:rPr>
        <w:t xml:space="preserve"> </w:t>
      </w:r>
    </w:p>
    <w:p w14:paraId="29B64335" w14:textId="77777777" w:rsidR="00983AE6" w:rsidRPr="00250A90" w:rsidRDefault="00983AE6" w:rsidP="00983AE6">
      <w:pPr>
        <w:pStyle w:val="ListBullet"/>
      </w:pPr>
      <w:r w:rsidRPr="00250A90">
        <w:t xml:space="preserve">a copy of the most recent consolidated financial statements for the entity prepared in accordance with </w:t>
      </w:r>
      <w:r>
        <w:t>applicable accounting standards</w:t>
      </w:r>
      <w:r w:rsidRPr="00250A90">
        <w:t xml:space="preserve"> and</w:t>
      </w:r>
    </w:p>
    <w:p w14:paraId="503D1BF3" w14:textId="77777777" w:rsidR="00983AE6" w:rsidRPr="00250A90" w:rsidRDefault="00983AE6" w:rsidP="00983AE6">
      <w:pPr>
        <w:pStyle w:val="ListBullet"/>
      </w:pPr>
      <w:r w:rsidRPr="00250A90">
        <w:t>such additional information related to the consolidated entity as determined by the Secretary.</w:t>
      </w:r>
    </w:p>
    <w:p w14:paraId="53660EFF" w14:textId="77777777" w:rsidR="00983AE6" w:rsidRPr="00C0519F" w:rsidRDefault="00983AE6" w:rsidP="004D5079">
      <w:pPr>
        <w:pStyle w:val="Heading5"/>
      </w:pPr>
      <w:bookmarkStart w:id="210" w:name="_Toc481505179"/>
      <w:bookmarkStart w:id="211" w:name="_Toc483209490"/>
      <w:r w:rsidRPr="00C0519F">
        <w:t>Providing annual financial statements</w:t>
      </w:r>
      <w:bookmarkEnd w:id="210"/>
      <w:bookmarkEnd w:id="211"/>
    </w:p>
    <w:p w14:paraId="0D5A1EB0" w14:textId="29C92A68" w:rsidR="00983AE6" w:rsidRDefault="00983AE6" w:rsidP="00983AE6">
      <w:pPr>
        <w:rPr>
          <w:bCs/>
        </w:rPr>
      </w:pPr>
      <w:r w:rsidRPr="00250A90">
        <w:t>The financial statements and accompanying documents and information must be given to the Secretary in a manner and form approved by the Secretary</w:t>
      </w:r>
      <w:r>
        <w:t xml:space="preserve"> </w:t>
      </w:r>
      <w:r w:rsidRPr="006907E1">
        <w:rPr>
          <w:rStyle w:val="ReferenceChar"/>
        </w:rPr>
        <w:t>[Rules s 113(5)]</w:t>
      </w:r>
      <w:r w:rsidRPr="00250A90">
        <w:t>.</w:t>
      </w:r>
      <w:r w:rsidR="00AF1C26">
        <w:t xml:space="preserve"> </w:t>
      </w:r>
      <w:r>
        <w:t xml:space="preserve">The required form is the HELP IT System (HITS). Financial documentation should be uploaded to a provider’s ‘Document List’ under </w:t>
      </w:r>
      <w:r>
        <w:lastRenderedPageBreak/>
        <w:t xml:space="preserve">‘Financial Requirements’. For assistance in uploading document in HITS, a provider should access the </w:t>
      </w:r>
      <w:hyperlink r:id="rId47" w:history="1">
        <w:r w:rsidRPr="006907E1">
          <w:rPr>
            <w:rStyle w:val="Hyperlink"/>
          </w:rPr>
          <w:t>HELP Information Technology System (HITS) User Guide.</w:t>
        </w:r>
      </w:hyperlink>
    </w:p>
    <w:p w14:paraId="5557F571" w14:textId="77777777" w:rsidR="004E1D45" w:rsidRDefault="00920D13" w:rsidP="00983AE6">
      <w:pPr>
        <w:rPr>
          <w:b/>
        </w:rPr>
      </w:pPr>
      <w:r>
        <w:t>Providers should notify the department that they have uploaded their annual financial statements to HITS by sending an email to the p</w:t>
      </w:r>
      <w:r w:rsidRPr="00E03E53">
        <w:t>rovider online enquiry form at</w:t>
      </w:r>
      <w:r>
        <w:t>:</w:t>
      </w:r>
      <w:r w:rsidRPr="00E03E53">
        <w:t xml:space="preserve"> </w:t>
      </w:r>
      <w:hyperlink r:id="rId48" w:history="1">
        <w:r w:rsidRPr="000C58DC">
          <w:rPr>
            <w:rStyle w:val="Hyperlink"/>
          </w:rPr>
          <w:t>www.education.gov.au/information-vet-student-loans-approved-providers</w:t>
        </w:r>
      </w:hyperlink>
      <w:r>
        <w:rPr>
          <w:b/>
        </w:rPr>
        <w:t>.</w:t>
      </w:r>
    </w:p>
    <w:p w14:paraId="2A6FD009" w14:textId="77777777" w:rsidR="005C79FB" w:rsidRDefault="005C79FB" w:rsidP="005C79FB">
      <w:r>
        <w:t>Under ‘Frequently asked questions’ scroll to the last option on the list (‘Click here if you still</w:t>
      </w:r>
      <w:r w:rsidR="00DF7FE6">
        <w:t xml:space="preserve"> need help’), then choose ‘New </w:t>
      </w:r>
      <w:r>
        <w:t>VET Student Loans’ from the drop down list and then choose ‘Other’. Insert in the enquiry text field:</w:t>
      </w:r>
    </w:p>
    <w:p w14:paraId="1E8CB6E6" w14:textId="7DF580EF" w:rsidR="00920D13" w:rsidRPr="00920D13" w:rsidRDefault="00373C26" w:rsidP="00983AE6">
      <w:r w:rsidRPr="00C33A11">
        <w:rPr>
          <w:rStyle w:val="Emphasis"/>
        </w:rPr>
        <w:t xml:space="preserve">Notice – </w:t>
      </w:r>
      <w:r w:rsidR="00243FB8">
        <w:rPr>
          <w:rStyle w:val="Emphasis"/>
        </w:rPr>
        <w:t>AFS</w:t>
      </w:r>
      <w:r w:rsidRPr="00C33A11">
        <w:rPr>
          <w:rStyle w:val="Emphasis"/>
        </w:rPr>
        <w:t xml:space="preserve"> - [provider name]</w:t>
      </w:r>
    </w:p>
    <w:p w14:paraId="2573FDAF" w14:textId="77777777" w:rsidR="00983AE6" w:rsidRPr="006907E1" w:rsidRDefault="00983AE6" w:rsidP="00983AE6">
      <w:pPr>
        <w:pStyle w:val="Heading3"/>
      </w:pPr>
      <w:bookmarkStart w:id="212" w:name="_Toc470008723"/>
      <w:bookmarkStart w:id="213" w:name="_Toc483222821"/>
      <w:bookmarkStart w:id="214" w:name="_Toc501621195"/>
      <w:r w:rsidRPr="006907E1">
        <w:t>4.4</w:t>
      </w:r>
      <w:r>
        <w:t>.</w:t>
      </w:r>
      <w:r w:rsidRPr="006907E1">
        <w:t>5   Copies of notices given to other regulators</w:t>
      </w:r>
      <w:bookmarkEnd w:id="212"/>
      <w:bookmarkEnd w:id="213"/>
      <w:bookmarkEnd w:id="214"/>
    </w:p>
    <w:p w14:paraId="6DD7DA18" w14:textId="77777777" w:rsidR="00983AE6" w:rsidRDefault="00983AE6" w:rsidP="00983AE6">
      <w:r w:rsidRPr="00250A90">
        <w:t xml:space="preserve">A provider must give the Secretary a copy of a notice given to the National VET Regulator under section 25 of the </w:t>
      </w:r>
      <w:r w:rsidRPr="00250A90">
        <w:rPr>
          <w:i/>
        </w:rPr>
        <w:t>National Vocational Education and Training Regulator Act 2011</w:t>
      </w:r>
      <w:r w:rsidRPr="00250A90">
        <w:t>, at the same time as the notice is given to the Regulator</w:t>
      </w:r>
      <w:r>
        <w:t xml:space="preserve"> </w:t>
      </w:r>
      <w:r w:rsidRPr="006907E1">
        <w:rPr>
          <w:rStyle w:val="ReferenceChar"/>
        </w:rPr>
        <w:t>[Rules s 114(1)]</w:t>
      </w:r>
      <w:r w:rsidRPr="00250A90">
        <w:t>.</w:t>
      </w:r>
      <w:r>
        <w:t xml:space="preserve"> </w:t>
      </w:r>
    </w:p>
    <w:p w14:paraId="0CD6BB6A" w14:textId="77777777" w:rsidR="000C58DC" w:rsidRDefault="00983AE6" w:rsidP="000C58DC">
      <w:pPr>
        <w:rPr>
          <w:b/>
        </w:rPr>
      </w:pPr>
      <w:r>
        <w:t xml:space="preserve">The provider gives a copy of a notice to the VET Regulator to the Secretary by </w:t>
      </w:r>
      <w:r w:rsidR="009772B9">
        <w:t xml:space="preserve">completing </w:t>
      </w:r>
      <w:r>
        <w:t xml:space="preserve">the </w:t>
      </w:r>
      <w:r w:rsidR="007C3509">
        <w:t>p</w:t>
      </w:r>
      <w:r w:rsidRPr="00E03E53">
        <w:t>rovider online enquiry form at</w:t>
      </w:r>
      <w:r w:rsidR="000C58DC">
        <w:t>:</w:t>
      </w:r>
      <w:r w:rsidRPr="00E03E53">
        <w:t xml:space="preserve"> </w:t>
      </w:r>
      <w:hyperlink r:id="rId49" w:history="1">
        <w:r w:rsidR="000C58DC" w:rsidRPr="000C58DC">
          <w:rPr>
            <w:rStyle w:val="Hyperlink"/>
          </w:rPr>
          <w:t>www.education.gov.au/information-vet-student-loans-approved-providers</w:t>
        </w:r>
      </w:hyperlink>
      <w:r w:rsidR="000C58DC">
        <w:rPr>
          <w:b/>
        </w:rPr>
        <w:t>.</w:t>
      </w:r>
    </w:p>
    <w:p w14:paraId="24E08C2E" w14:textId="1A55E373" w:rsidR="009772B9" w:rsidRDefault="005C79FB" w:rsidP="009772B9">
      <w:r>
        <w:t xml:space="preserve">Under ‘Frequently asked questions’ scroll to the last option on the list (‘Click here if you still need help’), then choose </w:t>
      </w:r>
      <w:r w:rsidR="009772B9">
        <w:t>‘</w:t>
      </w:r>
      <w:r>
        <w:t>New VET Student Loans</w:t>
      </w:r>
      <w:r w:rsidR="009772B9">
        <w:t>’ from the drop down list and then choose ‘Other’. Insert in the enquiry text field:</w:t>
      </w:r>
    </w:p>
    <w:p w14:paraId="556E7CCD" w14:textId="77777777" w:rsidR="009772B9" w:rsidRDefault="009772B9" w:rsidP="000C58DC">
      <w:r>
        <w:rPr>
          <w:rStyle w:val="Emphasis"/>
        </w:rPr>
        <w:t>Copy of NVR Regulator notices</w:t>
      </w:r>
      <w:r w:rsidRPr="00C33A11">
        <w:rPr>
          <w:rStyle w:val="Emphasis"/>
        </w:rPr>
        <w:t xml:space="preserve"> - [provider name]</w:t>
      </w:r>
    </w:p>
    <w:p w14:paraId="0AB6B83E" w14:textId="77777777" w:rsidR="00983AE6" w:rsidRDefault="00983AE6" w:rsidP="00983AE6">
      <w:r>
        <w:t>A</w:t>
      </w:r>
      <w:r w:rsidRPr="00250A90">
        <w:t xml:space="preserve"> provider must give the Secretary a copy of a notice given to the Commissioner of the Australian Charities and Not</w:t>
      </w:r>
      <w:r w:rsidRPr="00250A90">
        <w:noBreakHyphen/>
        <w:t>for</w:t>
      </w:r>
      <w:r w:rsidRPr="00250A90">
        <w:noBreakHyphen/>
        <w:t>profits Commission under section 65</w:t>
      </w:r>
      <w:r w:rsidRPr="00250A90">
        <w:noBreakHyphen/>
        <w:t xml:space="preserve">5 of the </w:t>
      </w:r>
      <w:r w:rsidRPr="00250A90">
        <w:rPr>
          <w:i/>
        </w:rPr>
        <w:t>Australian Charities and Not</w:t>
      </w:r>
      <w:r w:rsidRPr="00250A90">
        <w:rPr>
          <w:i/>
        </w:rPr>
        <w:noBreakHyphen/>
        <w:t>for</w:t>
      </w:r>
      <w:r w:rsidRPr="00250A90">
        <w:rPr>
          <w:i/>
        </w:rPr>
        <w:noBreakHyphen/>
        <w:t>profits Commission Act 2012</w:t>
      </w:r>
      <w:r w:rsidRPr="00250A90">
        <w:t xml:space="preserve">, at the same time as the notice is given to the </w:t>
      </w:r>
      <w:r w:rsidRPr="006907E1">
        <w:t xml:space="preserve">Commissioner </w:t>
      </w:r>
      <w:r>
        <w:rPr>
          <w:rStyle w:val="ReferenceChar"/>
        </w:rPr>
        <w:t>[Rules </w:t>
      </w:r>
      <w:r w:rsidRPr="006907E1">
        <w:rPr>
          <w:rStyle w:val="ReferenceChar"/>
        </w:rPr>
        <w:t>s 114(1)]</w:t>
      </w:r>
      <w:r w:rsidRPr="00250A90">
        <w:t>.</w:t>
      </w:r>
      <w:r>
        <w:t xml:space="preserve"> When providing the notice to the Secretary, the provider should state to what the notice relates.</w:t>
      </w:r>
    </w:p>
    <w:p w14:paraId="1EC6C7FD" w14:textId="77777777" w:rsidR="000C58DC" w:rsidRDefault="00983AE6" w:rsidP="000C58DC">
      <w:r>
        <w:t>A</w:t>
      </w:r>
      <w:r w:rsidRPr="00250A90">
        <w:t xml:space="preserve"> provider must give the Secretary a copy of a notice given to the Commissioner of the Australian Charities and Not</w:t>
      </w:r>
      <w:r w:rsidRPr="00250A90">
        <w:noBreakHyphen/>
        <w:t>for</w:t>
      </w:r>
      <w:r w:rsidRPr="00250A90">
        <w:noBreakHyphen/>
        <w:t xml:space="preserve">profits Commission </w:t>
      </w:r>
      <w:r>
        <w:t xml:space="preserve">by </w:t>
      </w:r>
      <w:bookmarkStart w:id="215" w:name="_Toc481649808"/>
      <w:bookmarkStart w:id="216" w:name="_Toc481650284"/>
      <w:bookmarkStart w:id="217" w:name="_Toc470008725"/>
      <w:bookmarkEnd w:id="215"/>
      <w:bookmarkEnd w:id="216"/>
      <w:r>
        <w:t xml:space="preserve">accessing the </w:t>
      </w:r>
      <w:r w:rsidR="007C3509">
        <w:t>p</w:t>
      </w:r>
      <w:r w:rsidRPr="00E03E53">
        <w:t>rovider online enquiry form at</w:t>
      </w:r>
      <w:r w:rsidR="000C58DC">
        <w:t>:</w:t>
      </w:r>
      <w:r w:rsidRPr="00E03E53">
        <w:t xml:space="preserve"> </w:t>
      </w:r>
      <w:hyperlink r:id="rId50" w:history="1">
        <w:r w:rsidR="000C58DC">
          <w:rPr>
            <w:rStyle w:val="Hyperlink"/>
          </w:rPr>
          <w:t>www.education.gov.au/information-vet-student-loans-approved-providers</w:t>
        </w:r>
      </w:hyperlink>
      <w:r w:rsidR="000C58DC">
        <w:t>.</w:t>
      </w:r>
    </w:p>
    <w:p w14:paraId="4AF307DB" w14:textId="77777777" w:rsidR="005C79FB" w:rsidRDefault="005C79FB" w:rsidP="005C79FB">
      <w:r>
        <w:t>Under ‘Frequently asked questions’ scroll to the last option on the list (‘Click here if you still</w:t>
      </w:r>
      <w:r w:rsidR="00DF7FE6">
        <w:t xml:space="preserve"> need help’), then choose ‘New </w:t>
      </w:r>
      <w:r>
        <w:t>VET Student Loans’ from the drop down list and then choose ‘Other’. Insert in the enquiry text field:</w:t>
      </w:r>
    </w:p>
    <w:p w14:paraId="68813951" w14:textId="77777777" w:rsidR="00373C26" w:rsidRPr="00C33A11" w:rsidRDefault="00373C26" w:rsidP="00373C26">
      <w:pPr>
        <w:rPr>
          <w:rStyle w:val="Emphasis"/>
        </w:rPr>
      </w:pPr>
      <w:r>
        <w:rPr>
          <w:rStyle w:val="Emphasis"/>
        </w:rPr>
        <w:t>Copy of notice to the Commissioner of ACNC</w:t>
      </w:r>
      <w:r w:rsidRPr="00C33A11">
        <w:rPr>
          <w:rStyle w:val="Emphasis"/>
        </w:rPr>
        <w:t xml:space="preserve"> - [provider name]</w:t>
      </w:r>
    </w:p>
    <w:bookmarkEnd w:id="217"/>
    <w:p w14:paraId="1F9E3A3B" w14:textId="77777777" w:rsidR="00E00486" w:rsidRDefault="00E00486" w:rsidP="00E00486">
      <w:pPr>
        <w:pStyle w:val="Heading5"/>
      </w:pPr>
      <w:r>
        <w:t>Annual forecasts</w:t>
      </w:r>
    </w:p>
    <w:p w14:paraId="4080D3AF" w14:textId="7540E96E" w:rsidR="00983AE6" w:rsidRPr="00250A90" w:rsidRDefault="00983AE6" w:rsidP="00983AE6">
      <w:r w:rsidRPr="00250A90">
        <w:t xml:space="preserve">An approved course provider must give the following information to the Secretary by </w:t>
      </w:r>
      <w:r w:rsidR="00E00486">
        <w:t>a specified date</w:t>
      </w:r>
      <w:r w:rsidRPr="00250A90">
        <w:t xml:space="preserve"> each year</w:t>
      </w:r>
      <w:r>
        <w:t xml:space="preserve"> </w:t>
      </w:r>
      <w:r w:rsidRPr="006907E1">
        <w:rPr>
          <w:rStyle w:val="ReferenceChar"/>
        </w:rPr>
        <w:t>[Rules s 116(1)]</w:t>
      </w:r>
      <w:r w:rsidR="00E00486" w:rsidRPr="00E00486">
        <w:rPr>
          <w:b/>
        </w:rPr>
        <w:t>:</w:t>
      </w:r>
      <w:r w:rsidR="00E00486">
        <w:t xml:space="preserve"> </w:t>
      </w:r>
    </w:p>
    <w:p w14:paraId="2945B2B3" w14:textId="77777777" w:rsidR="00983AE6" w:rsidRPr="00250A90" w:rsidRDefault="00983AE6" w:rsidP="00983AE6">
      <w:pPr>
        <w:pStyle w:val="ListBullet"/>
      </w:pPr>
      <w:r w:rsidRPr="00250A90">
        <w:t xml:space="preserve">a list of the approved </w:t>
      </w:r>
      <w:r>
        <w:t>courses offered by the provider</w:t>
      </w:r>
    </w:p>
    <w:p w14:paraId="71E5337F" w14:textId="77777777" w:rsidR="00983AE6" w:rsidRPr="00250A90" w:rsidRDefault="00983AE6" w:rsidP="00983AE6">
      <w:pPr>
        <w:pStyle w:val="ListBullet"/>
      </w:pPr>
      <w:r w:rsidRPr="00250A90">
        <w:t xml:space="preserve">the mode of delivery for each </w:t>
      </w:r>
      <w:r>
        <w:t>approved course</w:t>
      </w:r>
    </w:p>
    <w:p w14:paraId="00F5915E" w14:textId="77777777" w:rsidR="00983AE6" w:rsidRPr="00250A90" w:rsidRDefault="00983AE6" w:rsidP="00983AE6">
      <w:pPr>
        <w:pStyle w:val="ListBullet"/>
      </w:pPr>
      <w:r w:rsidRPr="00250A90">
        <w:t>the d</w:t>
      </w:r>
      <w:r>
        <w:t>uration of each approved course</w:t>
      </w:r>
    </w:p>
    <w:p w14:paraId="67D66AEF" w14:textId="77777777" w:rsidR="00983AE6" w:rsidRPr="00250A90" w:rsidRDefault="00983AE6" w:rsidP="00983AE6">
      <w:pPr>
        <w:pStyle w:val="ListBullet"/>
      </w:pPr>
      <w:r w:rsidRPr="00250A90">
        <w:t>a list of any approved courses offered by the provider within which a lower level qualification in the Australian Qualificat</w:t>
      </w:r>
      <w:r>
        <w:t>ions Framework can be completed</w:t>
      </w:r>
    </w:p>
    <w:p w14:paraId="27D13DFA" w14:textId="77777777" w:rsidR="00983AE6" w:rsidRPr="00250A90" w:rsidRDefault="00983AE6" w:rsidP="00983AE6">
      <w:pPr>
        <w:pStyle w:val="ListBullet"/>
      </w:pPr>
      <w:r w:rsidRPr="00250A90">
        <w:t>a list of any courses offered by the provider that lead to multiple qualifications at the same level (for example, 2</w:t>
      </w:r>
      <w:r>
        <w:t xml:space="preserve"> diplomas)</w:t>
      </w:r>
    </w:p>
    <w:p w14:paraId="21435506" w14:textId="77777777" w:rsidR="00983AE6" w:rsidRPr="00250A90" w:rsidRDefault="00983AE6" w:rsidP="00983AE6">
      <w:pPr>
        <w:pStyle w:val="ListBullet"/>
      </w:pPr>
      <w:r w:rsidRPr="00250A90">
        <w:lastRenderedPageBreak/>
        <w:t xml:space="preserve">the provider’s academic calendar, including the dates on which courses are expected to be provided and proposed </w:t>
      </w:r>
      <w:r>
        <w:t>census days</w:t>
      </w:r>
    </w:p>
    <w:p w14:paraId="2F21794F" w14:textId="77777777" w:rsidR="00983AE6" w:rsidRPr="00250A90" w:rsidRDefault="00983AE6" w:rsidP="00983AE6">
      <w:pPr>
        <w:pStyle w:val="ListBullet"/>
      </w:pPr>
      <w:r w:rsidRPr="00250A90">
        <w:t>the expected number of students for each approved course to be offered by the prov</w:t>
      </w:r>
      <w:r>
        <w:t>ider in the next financial year</w:t>
      </w:r>
    </w:p>
    <w:p w14:paraId="32379308" w14:textId="77777777" w:rsidR="00983AE6" w:rsidRPr="00250A90" w:rsidRDefault="00983AE6" w:rsidP="00983AE6">
      <w:pPr>
        <w:pStyle w:val="ListBullet"/>
      </w:pPr>
      <w:r w:rsidRPr="00250A90">
        <w:t xml:space="preserve">the expected amounts of </w:t>
      </w:r>
      <w:r w:rsidR="00454ED5">
        <w:t>VET Student Loans</w:t>
      </w:r>
      <w:r w:rsidRPr="00250A90">
        <w:t xml:space="preserve"> to be used for each approved course to be offered by the provider in the next financial year, based on the expected number of students and the cour</w:t>
      </w:r>
      <w:r>
        <w:t>ses and loan caps determination</w:t>
      </w:r>
    </w:p>
    <w:p w14:paraId="191070C0" w14:textId="77777777" w:rsidR="00983AE6" w:rsidRPr="00250A90" w:rsidRDefault="00983AE6" w:rsidP="00983AE6">
      <w:pPr>
        <w:pStyle w:val="ListBullet"/>
      </w:pPr>
      <w:r w:rsidRPr="00250A90">
        <w:t>the tuition fees for each approved course to be offered by the provider in the next financial year, along with a comparison of:</w:t>
      </w:r>
    </w:p>
    <w:p w14:paraId="26C23D3C" w14:textId="77777777" w:rsidR="00983AE6" w:rsidRPr="00250A90" w:rsidRDefault="00983AE6" w:rsidP="00983AE6">
      <w:pPr>
        <w:pStyle w:val="ListBullet3"/>
        <w:numPr>
          <w:ilvl w:val="2"/>
          <w:numId w:val="29"/>
        </w:numPr>
      </w:pPr>
      <w:r w:rsidRPr="00250A90">
        <w:t>if the provider offered the same course in the current financial year—the fees for the cours</w:t>
      </w:r>
      <w:r>
        <w:t>e in the current financial year</w:t>
      </w:r>
      <w:r w:rsidRPr="00250A90">
        <w:t xml:space="preserve"> and</w:t>
      </w:r>
    </w:p>
    <w:p w14:paraId="04B3E537" w14:textId="77777777" w:rsidR="00983AE6" w:rsidRPr="00250A90" w:rsidRDefault="00983AE6" w:rsidP="00983AE6">
      <w:pPr>
        <w:pStyle w:val="ListBullet3"/>
        <w:numPr>
          <w:ilvl w:val="2"/>
          <w:numId w:val="29"/>
        </w:numPr>
      </w:pPr>
      <w:r w:rsidRPr="00250A90">
        <w:t>if the course replaces a course offered by the provider in the current financial year—the fees for the replaced</w:t>
      </w:r>
      <w:r>
        <w:t xml:space="preserve"> course</w:t>
      </w:r>
    </w:p>
    <w:p w14:paraId="046D2E39" w14:textId="77777777" w:rsidR="00983AE6" w:rsidRPr="00250A90" w:rsidRDefault="00983AE6" w:rsidP="00983AE6">
      <w:pPr>
        <w:pStyle w:val="ListBullet"/>
      </w:pPr>
      <w:r w:rsidRPr="00250A90">
        <w:t>information about the links the provider has with industry and other bodies as required under section 35</w:t>
      </w:r>
      <w:r>
        <w:t xml:space="preserve"> of the Rules.</w:t>
      </w:r>
    </w:p>
    <w:p w14:paraId="6B92FFDF" w14:textId="77777777" w:rsidR="00983AE6" w:rsidRPr="00250A90" w:rsidRDefault="00983AE6" w:rsidP="00983AE6">
      <w:pPr>
        <w:pStyle w:val="ListBullet"/>
      </w:pPr>
      <w:r w:rsidRPr="00250A90">
        <w:t>the most recent results of the provider’s assessment of the matters mentioned in subsection 34</w:t>
      </w:r>
      <w:r>
        <w:t>(2) of the Rules.</w:t>
      </w:r>
    </w:p>
    <w:p w14:paraId="016EEC93" w14:textId="77777777" w:rsidR="00983AE6" w:rsidRPr="00250A90" w:rsidRDefault="00983AE6" w:rsidP="00983AE6">
      <w:pPr>
        <w:pStyle w:val="ListBullet"/>
      </w:pPr>
      <w:r w:rsidRPr="00250A90">
        <w:t>any other information determined by the Secretary.</w:t>
      </w:r>
    </w:p>
    <w:p w14:paraId="17767FDF" w14:textId="77777777" w:rsidR="00983AE6" w:rsidRDefault="00983AE6" w:rsidP="00983AE6">
      <w:r>
        <w:t>T</w:t>
      </w:r>
      <w:r w:rsidRPr="00250A90">
        <w:t>he Secretary may determine different information that must be given by different providers</w:t>
      </w:r>
      <w:r>
        <w:t xml:space="preserve"> </w:t>
      </w:r>
      <w:r>
        <w:rPr>
          <w:rStyle w:val="ReferenceChar"/>
        </w:rPr>
        <w:t>[Rules </w:t>
      </w:r>
      <w:r w:rsidRPr="006907E1">
        <w:rPr>
          <w:rStyle w:val="ReferenceChar"/>
        </w:rPr>
        <w:t>s</w:t>
      </w:r>
      <w:r>
        <w:rPr>
          <w:rStyle w:val="ReferenceChar"/>
        </w:rPr>
        <w:t> </w:t>
      </w:r>
      <w:r w:rsidRPr="006907E1">
        <w:rPr>
          <w:rStyle w:val="ReferenceChar"/>
        </w:rPr>
        <w:t>116(2)]</w:t>
      </w:r>
      <w:r w:rsidRPr="00250A90">
        <w:t>.</w:t>
      </w:r>
    </w:p>
    <w:p w14:paraId="381457E5" w14:textId="77777777" w:rsidR="00983AE6" w:rsidRPr="00C0519F" w:rsidRDefault="00983AE6" w:rsidP="0036442E">
      <w:pPr>
        <w:pStyle w:val="Heading5"/>
      </w:pPr>
      <w:bookmarkStart w:id="218" w:name="_Toc481505182"/>
      <w:bookmarkStart w:id="219" w:name="_Toc483209492"/>
      <w:r w:rsidRPr="00C0519F">
        <w:t>Providing your annual forecasts</w:t>
      </w:r>
      <w:bookmarkEnd w:id="218"/>
      <w:bookmarkEnd w:id="219"/>
    </w:p>
    <w:p w14:paraId="771AC4CA" w14:textId="209A9AE4" w:rsidR="00E00486" w:rsidRDefault="00E00486" w:rsidP="00BD4489">
      <w:r>
        <w:t xml:space="preserve">Providers will be notified of the date by which the information is required to be provided either in this manual or by notice on the website at </w:t>
      </w:r>
      <w:hyperlink r:id="rId51" w:history="1">
        <w:r w:rsidRPr="00515E2C">
          <w:rPr>
            <w:rStyle w:val="Hyperlink"/>
          </w:rPr>
          <w:t>www.education.gov.au/vet-student-loans</w:t>
        </w:r>
      </w:hyperlink>
      <w:r>
        <w:t>.</w:t>
      </w:r>
    </w:p>
    <w:p w14:paraId="6D4F2A83" w14:textId="78E1522F" w:rsidR="00E574FF" w:rsidRDefault="00983AE6" w:rsidP="00BD4489">
      <w:pPr>
        <w:rPr>
          <w:rFonts w:ascii="Calibri" w:eastAsiaTheme="majorEastAsia" w:hAnsi="Calibri" w:cstheme="majorBidi"/>
          <w:b/>
          <w:bCs/>
          <w:color w:val="292065"/>
          <w:sz w:val="28"/>
          <w:szCs w:val="26"/>
        </w:rPr>
      </w:pPr>
      <w:r>
        <w:t xml:space="preserve">Annual forecasts should be uploaded to a provider’s ‘Document List’ under ‘Compliance Requirements’. For assistance in uploading document in HITS, a provider should access the </w:t>
      </w:r>
      <w:hyperlink r:id="rId52" w:history="1">
        <w:r w:rsidRPr="006907E1">
          <w:rPr>
            <w:rStyle w:val="Hyperlink"/>
          </w:rPr>
          <w:t>HELP Information Technology System (HITS) User Guide</w:t>
        </w:r>
        <w:r w:rsidRPr="006907E1">
          <w:t>.</w:t>
        </w:r>
      </w:hyperlink>
      <w:r w:rsidRPr="00736F23">
        <w:rPr>
          <w:rStyle w:val="Hyperlink"/>
          <w:rFonts w:cstheme="minorHAnsi"/>
        </w:rPr>
        <w:t xml:space="preserve"> </w:t>
      </w:r>
      <w:bookmarkStart w:id="220" w:name="_Toc475444235"/>
      <w:bookmarkStart w:id="221" w:name="_Toc475444326"/>
      <w:bookmarkStart w:id="222" w:name="_Toc477425511"/>
      <w:bookmarkStart w:id="223" w:name="_Toc477425843"/>
      <w:bookmarkStart w:id="224" w:name="_Toc477505881"/>
      <w:bookmarkStart w:id="225" w:name="_Toc477960022"/>
      <w:bookmarkStart w:id="226" w:name="_Toc477960170"/>
      <w:bookmarkStart w:id="227" w:name="_Toc477960610"/>
      <w:bookmarkStart w:id="228" w:name="_Toc477961049"/>
      <w:bookmarkStart w:id="229" w:name="_Toc477961527"/>
      <w:bookmarkStart w:id="230" w:name="_Toc477962009"/>
      <w:bookmarkStart w:id="231" w:name="_Toc477962496"/>
      <w:bookmarkStart w:id="232" w:name="_Toc477962982"/>
      <w:bookmarkStart w:id="233" w:name="_Toc477963469"/>
      <w:bookmarkStart w:id="234" w:name="_Toc478042660"/>
      <w:bookmarkStart w:id="235" w:name="_Toc478366907"/>
      <w:bookmarkStart w:id="236" w:name="_Toc479083508"/>
      <w:bookmarkStart w:id="237" w:name="_Toc471285729"/>
      <w:bookmarkStart w:id="238" w:name="_Toc471300242"/>
      <w:bookmarkStart w:id="239" w:name="_Toc471305740"/>
      <w:bookmarkStart w:id="240" w:name="_Toc471306340"/>
      <w:bookmarkStart w:id="241" w:name="_Toc471306856"/>
      <w:bookmarkStart w:id="242" w:name="_Toc471307629"/>
      <w:bookmarkStart w:id="243" w:name="_Toc471368818"/>
      <w:bookmarkStart w:id="244" w:name="_Toc471374168"/>
      <w:bookmarkStart w:id="245" w:name="_Toc471374361"/>
      <w:bookmarkStart w:id="246" w:name="_Approved_courses"/>
      <w:bookmarkStart w:id="247" w:name="_Approved_courses_and"/>
      <w:bookmarkStart w:id="248" w:name="_4.5_Approved_courses"/>
      <w:bookmarkStart w:id="249" w:name="_Toc471374362"/>
      <w:bookmarkStart w:id="250" w:name="_Toc477960023"/>
      <w:bookmarkStart w:id="251" w:name="_Toc483222822"/>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11EC5D3" w14:textId="64D6017D" w:rsidR="00983AE6" w:rsidRPr="0070750F" w:rsidRDefault="006B13D0" w:rsidP="00A0727A">
      <w:pPr>
        <w:pStyle w:val="Heading2"/>
        <w:numPr>
          <w:ilvl w:val="1"/>
          <w:numId w:val="71"/>
        </w:numPr>
        <w:rPr>
          <w:rFonts w:eastAsia="Times New Roman"/>
        </w:rPr>
      </w:pPr>
      <w:r>
        <w:rPr>
          <w:rFonts w:eastAsia="Times New Roman"/>
        </w:rPr>
        <w:t xml:space="preserve">  </w:t>
      </w:r>
      <w:bookmarkStart w:id="252" w:name="_Toc501621196"/>
      <w:r w:rsidR="00983AE6" w:rsidRPr="0070750F">
        <w:rPr>
          <w:rFonts w:eastAsia="Times New Roman"/>
        </w:rPr>
        <w:t>Approved courses</w:t>
      </w:r>
      <w:bookmarkEnd w:id="249"/>
      <w:r w:rsidR="00983AE6" w:rsidRPr="0070750F">
        <w:rPr>
          <w:rFonts w:eastAsia="Times New Roman"/>
        </w:rPr>
        <w:t xml:space="preserve"> and loan caps</w:t>
      </w:r>
      <w:bookmarkEnd w:id="250"/>
      <w:bookmarkEnd w:id="251"/>
      <w:bookmarkEnd w:id="252"/>
    </w:p>
    <w:p w14:paraId="6497E839" w14:textId="77777777" w:rsidR="00983AE6" w:rsidRDefault="00983AE6" w:rsidP="00983AE6">
      <w:pPr>
        <w:rPr>
          <w:b/>
          <w:i/>
        </w:rPr>
      </w:pPr>
      <w:r w:rsidRPr="00823B65">
        <w:t xml:space="preserve">The </w:t>
      </w:r>
      <w:r w:rsidRPr="00823B65">
        <w:rPr>
          <w:i/>
        </w:rPr>
        <w:t>VET Student Loans (Courses and Loan Caps) Determination 2016</w:t>
      </w:r>
      <w:r w:rsidRPr="00823B65">
        <w:t xml:space="preserve"> (</w:t>
      </w:r>
      <w:r>
        <w:t>the</w:t>
      </w:r>
      <w:r w:rsidRPr="00823B65">
        <w:t xml:space="preserve"> Determination) specifies the courses </w:t>
      </w:r>
      <w:r>
        <w:t xml:space="preserve">approved for </w:t>
      </w:r>
      <w:r w:rsidR="00454ED5">
        <w:t>VET Student Loans</w:t>
      </w:r>
      <w:r>
        <w:t xml:space="preserve"> and the maximum loan amount for those courses. It also indicates the annual indexation of the loans.</w:t>
      </w:r>
      <w:r w:rsidRPr="00823B65">
        <w:t xml:space="preserve"> The Determination is available here:</w:t>
      </w:r>
      <w:r>
        <w:t xml:space="preserve"> </w:t>
      </w:r>
      <w:hyperlink r:id="rId53" w:history="1">
        <w:r w:rsidRPr="006907E1">
          <w:rPr>
            <w:rStyle w:val="Hyperlink"/>
          </w:rPr>
          <w:t>www.legislation.gov.au/Series/F2016L02016</w:t>
        </w:r>
      </w:hyperlink>
      <w:r>
        <w:t>.</w:t>
      </w:r>
    </w:p>
    <w:p w14:paraId="170EC109" w14:textId="77777777" w:rsidR="00983AE6" w:rsidRPr="00A1115A" w:rsidRDefault="00983AE6" w:rsidP="0036442E">
      <w:pPr>
        <w:pStyle w:val="Heading5"/>
        <w:rPr>
          <w:rFonts w:eastAsia="Times New Roman"/>
        </w:rPr>
      </w:pPr>
      <w:bookmarkStart w:id="253" w:name="_Qualifying_Courses"/>
      <w:bookmarkStart w:id="254" w:name="_Toc483209494"/>
      <w:bookmarkStart w:id="255" w:name="_Toc483222823"/>
      <w:bookmarkEnd w:id="253"/>
      <w:r w:rsidRPr="00A1115A">
        <w:rPr>
          <w:rFonts w:eastAsia="Times New Roman"/>
        </w:rPr>
        <w:t>Qualifying Courses</w:t>
      </w:r>
      <w:bookmarkEnd w:id="254"/>
      <w:bookmarkEnd w:id="255"/>
    </w:p>
    <w:p w14:paraId="2C1038BC" w14:textId="60A6C490" w:rsidR="00983AE6" w:rsidRPr="00472F26" w:rsidRDefault="00983AE6" w:rsidP="00983AE6">
      <w:pPr>
        <w:rPr>
          <w:rFonts w:eastAsiaTheme="minorHAnsi"/>
        </w:rPr>
      </w:pPr>
      <w:r w:rsidRPr="00472F26">
        <w:t>Providers must only offer VET Student Loans for those diploma level or above courses that have been agreed. That is</w:t>
      </w:r>
      <w:r w:rsidR="009E1B53">
        <w:t>,</w:t>
      </w:r>
      <w:r w:rsidRPr="00472F26">
        <w:t xml:space="preserve"> the courses must be on the </w:t>
      </w:r>
      <w:hyperlink r:id="rId54" w:history="1">
        <w:r w:rsidRPr="00472F26">
          <w:t>Determination</w:t>
        </w:r>
      </w:hyperlink>
      <w:r w:rsidRPr="00472F26">
        <w:t xml:space="preserve">, and must be approved for VET Student Loans as a condition of </w:t>
      </w:r>
      <w:r w:rsidR="00F5499F">
        <w:t>a provider’s</w:t>
      </w:r>
      <w:r w:rsidRPr="00472F26">
        <w:t xml:space="preserve"> approval.</w:t>
      </w:r>
    </w:p>
    <w:p w14:paraId="055D3C33" w14:textId="07034DB0" w:rsidR="00983AE6" w:rsidRPr="00472F26" w:rsidRDefault="00983AE6">
      <w:r w:rsidRPr="00472F26">
        <w:t xml:space="preserve">All courses a provider has been granted scope to deliver through </w:t>
      </w:r>
      <w:hyperlink r:id="rId55" w:history="1">
        <w:r w:rsidR="00E00486" w:rsidRPr="00515E2C">
          <w:rPr>
            <w:rStyle w:val="Hyperlink"/>
          </w:rPr>
          <w:t>www.training.gov.au</w:t>
        </w:r>
      </w:hyperlink>
      <w:r w:rsidRPr="00472F26">
        <w:t xml:space="preserve"> will be visible in HITS</w:t>
      </w:r>
      <w:r w:rsidR="009E1B53">
        <w:t xml:space="preserve"> (‘Course List’)</w:t>
      </w:r>
      <w:r w:rsidRPr="00472F26">
        <w:t xml:space="preserve">. </w:t>
      </w:r>
      <w:r w:rsidR="009E1B53">
        <w:t>A p</w:t>
      </w:r>
      <w:r w:rsidRPr="00472F26">
        <w:t>rovider</w:t>
      </w:r>
      <w:r w:rsidR="009E1B53">
        <w:t>’</w:t>
      </w:r>
      <w:r w:rsidRPr="00472F26">
        <w:t xml:space="preserve">s </w:t>
      </w:r>
      <w:r w:rsidR="009E1B53">
        <w:t xml:space="preserve">VET Student Loans approved courses will be separately listed under ‘VSL Course List and Fee Limits’ in HITS. Providers </w:t>
      </w:r>
      <w:r w:rsidRPr="00472F26">
        <w:t xml:space="preserve">should </w:t>
      </w:r>
      <w:r w:rsidR="009E1B53">
        <w:t>be aware that approval to offer VET Student Loans for courses is dependent on the</w:t>
      </w:r>
      <w:r w:rsidR="00020A05">
        <w:t xml:space="preserve"> conditions imposed on a</w:t>
      </w:r>
      <w:r w:rsidR="009E1B53">
        <w:t xml:space="preserve"> provider’s </w:t>
      </w:r>
      <w:r w:rsidR="00020A05">
        <w:t>approval</w:t>
      </w:r>
      <w:r w:rsidR="009E1B53">
        <w:t xml:space="preserve">.  Providers </w:t>
      </w:r>
      <w:r w:rsidRPr="00472F26">
        <w:t xml:space="preserve">should rely on their conditions of approval. </w:t>
      </w:r>
    </w:p>
    <w:p w14:paraId="0CF0AC2C" w14:textId="77777777" w:rsidR="00137372" w:rsidRDefault="00137372" w:rsidP="00137372">
      <w:r>
        <w:t>There are three Schedules to the Determination.</w:t>
      </w:r>
      <w:r w:rsidRPr="001A7564">
        <w:t xml:space="preserve"> </w:t>
      </w:r>
      <w:r>
        <w:t xml:space="preserve">Schedule 1 sets out the approved VET Student Loans courses in three parts and loan caps for those courses in each part. Schedule 2 sets out the approved courses in the Aviation Training Package and the loan caps for those courses. Schedule 3 lists the approved courses for specific providers and the loan caps for those courses. </w:t>
      </w:r>
    </w:p>
    <w:p w14:paraId="0809BF39" w14:textId="581534AB" w:rsidR="00137372" w:rsidRDefault="00137372" w:rsidP="00137372">
      <w:r w:rsidRPr="00D252DF">
        <w:lastRenderedPageBreak/>
        <w:t xml:space="preserve">The Determination will be updated periodically, so any changes to approved courses, including replacing superseded courses, will occur at those times, and not automatically. However, it is the intention for providers to be approved to deliver the replacement course after </w:t>
      </w:r>
      <w:r>
        <w:t>the course</w:t>
      </w:r>
      <w:r w:rsidRPr="00D252DF">
        <w:t xml:space="preserve"> ha</w:t>
      </w:r>
      <w:r>
        <w:t>s</w:t>
      </w:r>
      <w:r w:rsidRPr="00D252DF">
        <w:t xml:space="preserve"> been listed on the Determination</w:t>
      </w:r>
      <w:r w:rsidR="00E00486">
        <w:t>, once provider conditions have been updated to include the replacement course</w:t>
      </w:r>
      <w:r w:rsidRPr="00D252DF">
        <w:t xml:space="preserve">. </w:t>
      </w:r>
      <w:r>
        <w:t>I</w:t>
      </w:r>
      <w:r w:rsidRPr="00D252DF">
        <w:t>f the replacement course is already on the Determination a provider will be automatically approved to deliver that course, following an update to the provider’s approval conditions</w:t>
      </w:r>
      <w:r>
        <w:t>. A</w:t>
      </w:r>
      <w:r w:rsidRPr="00D252DF">
        <w:t>dministrative arrangements to give effect to this will be determined following the next update to the Determination.</w:t>
      </w:r>
    </w:p>
    <w:p w14:paraId="27F03ED4" w14:textId="3DEEE139" w:rsidR="006F6AB6" w:rsidRDefault="00983AE6">
      <w:r w:rsidRPr="00472F26">
        <w:t xml:space="preserve">If </w:t>
      </w:r>
      <w:r w:rsidR="00F5499F">
        <w:t>a provider wishes</w:t>
      </w:r>
      <w:r w:rsidR="009E1B53">
        <w:t xml:space="preserve"> </w:t>
      </w:r>
      <w:r w:rsidRPr="00472F26">
        <w:t xml:space="preserve">to offer an additional course under VET Student Loans to those outlined in </w:t>
      </w:r>
      <w:r w:rsidR="0060721D">
        <w:t>its</w:t>
      </w:r>
      <w:r w:rsidR="0060721D" w:rsidRPr="00472F26">
        <w:t xml:space="preserve"> </w:t>
      </w:r>
      <w:r w:rsidRPr="00472F26">
        <w:t xml:space="preserve">conditions of approval, </w:t>
      </w:r>
      <w:r w:rsidR="0060721D">
        <w:t>the provider</w:t>
      </w:r>
      <w:r w:rsidR="0060721D" w:rsidRPr="00472F26">
        <w:t xml:space="preserve"> </w:t>
      </w:r>
      <w:r w:rsidRPr="00472F26">
        <w:t>will need to apply to the Secretary</w:t>
      </w:r>
      <w:r w:rsidR="00F5499F">
        <w:t xml:space="preserve"> of the department</w:t>
      </w:r>
      <w:r w:rsidRPr="00472F26">
        <w:t xml:space="preserve">. </w:t>
      </w:r>
      <w:r>
        <w:t>For m</w:t>
      </w:r>
      <w:r w:rsidRPr="00472F26">
        <w:t xml:space="preserve">ore </w:t>
      </w:r>
      <w:r w:rsidR="00936BEC" w:rsidRPr="00472F26">
        <w:t>information,</w:t>
      </w:r>
      <w:r w:rsidRPr="00472F26">
        <w:t xml:space="preserve"> </w:t>
      </w:r>
      <w:r>
        <w:t xml:space="preserve">see section </w:t>
      </w:r>
      <w:hyperlink w:anchor="_4.5.1__" w:history="1">
        <w:r w:rsidRPr="00137372">
          <w:rPr>
            <w:rStyle w:val="Hyperlink"/>
          </w:rPr>
          <w:t>4.5.1</w:t>
        </w:r>
      </w:hyperlink>
      <w:r>
        <w:t xml:space="preserve"> below.</w:t>
      </w:r>
    </w:p>
    <w:p w14:paraId="1105FCD4" w14:textId="56FC009A" w:rsidR="001F6A4D" w:rsidRPr="001F6A4D" w:rsidRDefault="001F6A4D" w:rsidP="001F6A4D">
      <w:r w:rsidRPr="001F6A4D">
        <w:t xml:space="preserve">Where a loan approval is given for a course that is included in the </w:t>
      </w:r>
      <w:r w:rsidR="000C2ED5">
        <w:rPr>
          <w:i/>
          <w:iCs/>
        </w:rPr>
        <w:t>VET Student Loans (Courses and Loan Caps) </w:t>
      </w:r>
      <w:r w:rsidRPr="001F6A4D">
        <w:rPr>
          <w:i/>
          <w:iCs/>
        </w:rPr>
        <w:t>Determination 2016</w:t>
      </w:r>
      <w:r w:rsidR="00BD7783">
        <w:t xml:space="preserve"> at the time of approval, </w:t>
      </w:r>
      <w:r w:rsidRPr="001F6A4D">
        <w:t>the loan will be</w:t>
      </w:r>
      <w:r w:rsidR="00E00486">
        <w:t xml:space="preserve"> honoured, even if the course is</w:t>
      </w:r>
      <w:r w:rsidRPr="001F6A4D">
        <w:t xml:space="preserve"> subsequently removed from the determination (and even if the student has not yet commenced study).</w:t>
      </w:r>
    </w:p>
    <w:p w14:paraId="63458F68" w14:textId="1CF1618C" w:rsidR="001F6A4D" w:rsidRPr="001F6A4D" w:rsidRDefault="001F6A4D" w:rsidP="001F6A4D">
      <w:r w:rsidRPr="001F6A4D">
        <w:t>We implement that outcome by providing a teach out date against the course in HITS. That means new students cannot have loans approved for VSL, but payments can continue for students who already have approval.</w:t>
      </w:r>
    </w:p>
    <w:p w14:paraId="2B5E0150" w14:textId="66225174" w:rsidR="001F6A4D" w:rsidRPr="001F6A4D" w:rsidRDefault="001F6A4D" w:rsidP="001F6A4D">
      <w:r w:rsidRPr="001F6A4D">
        <w:t xml:space="preserve">Additionally, to confirm that outcome, all instruments that have previously made changes to the determination have also expressly provided transitional arrangements for courses removed. Typically, they provide something along the lines of ‘For the absence of doubt, if before [the date of the instrument]: (a) the Secretary approved a VET student loan for a student for a course of study listed [for removal in the instrument]; and (b) the student had not completed the course of study; the Secretary may continue to pay amounts from that loan under section 19 of the </w:t>
      </w:r>
      <w:r w:rsidR="000C2ED5">
        <w:rPr>
          <w:i/>
          <w:iCs/>
        </w:rPr>
        <w:t>VET Student Loans Act </w:t>
      </w:r>
      <w:r w:rsidRPr="001F6A4D">
        <w:rPr>
          <w:i/>
          <w:iCs/>
        </w:rPr>
        <w:t>2016</w:t>
      </w:r>
      <w:r w:rsidRPr="001F6A4D">
        <w:t xml:space="preserve"> on or after [the date of the instrument], in relation to that course.’</w:t>
      </w:r>
    </w:p>
    <w:p w14:paraId="4326ECE2" w14:textId="77777777" w:rsidR="00983AE6" w:rsidRPr="006907E1" w:rsidRDefault="00983AE6" w:rsidP="00983AE6">
      <w:pPr>
        <w:pStyle w:val="Heading3"/>
      </w:pPr>
      <w:bookmarkStart w:id="256" w:name="_4.5.1__"/>
      <w:bookmarkStart w:id="257" w:name="_Toc483222824"/>
      <w:bookmarkStart w:id="258" w:name="_Toc501621197"/>
      <w:bookmarkEnd w:id="256"/>
      <w:r w:rsidRPr="006907E1">
        <w:t>4.5.1   Process for approved providers applying for additional courses</w:t>
      </w:r>
      <w:bookmarkEnd w:id="257"/>
      <w:bookmarkEnd w:id="258"/>
    </w:p>
    <w:p w14:paraId="475A7E6E" w14:textId="2EE4E7EF" w:rsidR="00983AE6" w:rsidRDefault="00983AE6" w:rsidP="00983AE6">
      <w:r w:rsidRPr="007B3DB8">
        <w:t xml:space="preserve">Approved </w:t>
      </w:r>
      <w:r w:rsidR="002E41EA">
        <w:t>c</w:t>
      </w:r>
      <w:r w:rsidRPr="007B3DB8">
        <w:t xml:space="preserve">ourse </w:t>
      </w:r>
      <w:r w:rsidR="002E41EA">
        <w:t>p</w:t>
      </w:r>
      <w:r w:rsidRPr="007B3DB8">
        <w:t xml:space="preserve">roviders will have the opportunity to </w:t>
      </w:r>
      <w:r w:rsidR="007F376B">
        <w:t xml:space="preserve">submit a </w:t>
      </w:r>
      <w:r w:rsidRPr="007B3DB8">
        <w:t xml:space="preserve">request </w:t>
      </w:r>
      <w:r w:rsidR="007F376B">
        <w:t xml:space="preserve">for </w:t>
      </w:r>
      <w:r w:rsidR="007F376B" w:rsidRPr="007B3DB8">
        <w:t>addition</w:t>
      </w:r>
      <w:r w:rsidR="007F376B">
        <w:t xml:space="preserve">s to their approved </w:t>
      </w:r>
      <w:r w:rsidRPr="007B3DB8">
        <w:t>courses twice a year</w:t>
      </w:r>
      <w:r w:rsidR="007F376B">
        <w:t>.</w:t>
      </w:r>
      <w:r w:rsidR="007F376B" w:rsidRPr="007F376B">
        <w:t xml:space="preserve"> </w:t>
      </w:r>
      <w:r w:rsidR="007F376B" w:rsidRPr="007B3DB8">
        <w:t xml:space="preserve">Providers will </w:t>
      </w:r>
      <w:r w:rsidR="0018199A">
        <w:t>need</w:t>
      </w:r>
      <w:r w:rsidR="007F376B" w:rsidRPr="007B3DB8">
        <w:t xml:space="preserve"> to submit </w:t>
      </w:r>
      <w:r w:rsidR="0018199A" w:rsidRPr="00A41C46">
        <w:t>a</w:t>
      </w:r>
      <w:r w:rsidR="0018199A" w:rsidRPr="007B3DB8">
        <w:t xml:space="preserve"> complete</w:t>
      </w:r>
      <w:r w:rsidR="0018199A">
        <w:t>d</w:t>
      </w:r>
      <w:r w:rsidR="0018199A" w:rsidRPr="007B3DB8">
        <w:t xml:space="preserve"> </w:t>
      </w:r>
      <w:r w:rsidR="0018199A" w:rsidRPr="007F376B">
        <w:rPr>
          <w:i/>
        </w:rPr>
        <w:t>Request for Additional Courses</w:t>
      </w:r>
      <w:r w:rsidR="0018199A" w:rsidRPr="007B3DB8">
        <w:t xml:space="preserve"> form </w:t>
      </w:r>
      <w:r w:rsidR="0018199A" w:rsidRPr="0028499D">
        <w:rPr>
          <w:u w:val="single"/>
        </w:rPr>
        <w:t>and</w:t>
      </w:r>
      <w:r w:rsidR="0018199A">
        <w:t xml:space="preserve"> an evidenced based </w:t>
      </w:r>
      <w:r w:rsidR="007F376B" w:rsidRPr="007B3DB8">
        <w:t>business</w:t>
      </w:r>
      <w:r w:rsidRPr="006974D1">
        <w:rPr>
          <w:rStyle w:val="Strong"/>
        </w:rPr>
        <w:t xml:space="preserve"> </w:t>
      </w:r>
      <w:r w:rsidR="00C95B58" w:rsidRPr="00963989">
        <w:rPr>
          <w:rStyle w:val="Strong"/>
          <w:b w:val="0"/>
        </w:rPr>
        <w:t xml:space="preserve">case </w:t>
      </w:r>
      <w:r w:rsidRPr="00963989">
        <w:rPr>
          <w:rStyle w:val="Strong"/>
          <w:b w:val="0"/>
        </w:rPr>
        <w:t>to the department by</w:t>
      </w:r>
      <w:r w:rsidRPr="006974D1">
        <w:rPr>
          <w:rStyle w:val="Strong"/>
        </w:rPr>
        <w:t xml:space="preserve"> 31 March or 30 September annually</w:t>
      </w:r>
      <w:r w:rsidRPr="007B3DB8">
        <w:t>.</w:t>
      </w:r>
    </w:p>
    <w:p w14:paraId="448BD52A" w14:textId="7326053C" w:rsidR="004D2B37" w:rsidRDefault="00FB5780" w:rsidP="00ED165B">
      <w:pPr>
        <w:rPr>
          <w:rFonts w:ascii="Calibri" w:eastAsiaTheme="majorEastAsia" w:hAnsi="Calibri" w:cstheme="majorBidi"/>
          <w:b/>
          <w:bCs/>
          <w:i/>
          <w:iCs/>
        </w:rPr>
      </w:pPr>
      <w:r>
        <w:t xml:space="preserve">The </w:t>
      </w:r>
      <w:r w:rsidRPr="00A41C46">
        <w:rPr>
          <w:i/>
        </w:rPr>
        <w:t>Request for Additional Courses</w:t>
      </w:r>
      <w:r>
        <w:t xml:space="preserve"> form is available at </w:t>
      </w:r>
      <w:hyperlink r:id="rId56" w:history="1">
        <w:r w:rsidRPr="00AD4D1B">
          <w:rPr>
            <w:rStyle w:val="Hyperlink"/>
          </w:rPr>
          <w:t>https://docs.education.gov.au/node/43871</w:t>
        </w:r>
      </w:hyperlink>
      <w:r w:rsidR="00C7077A">
        <w:rPr>
          <w:rStyle w:val="Hyperlink"/>
        </w:rPr>
        <w:t>.</w:t>
      </w:r>
    </w:p>
    <w:p w14:paraId="746B94FB" w14:textId="3768A4EC" w:rsidR="00983AE6" w:rsidRPr="007B3DB8" w:rsidRDefault="00983AE6" w:rsidP="0036442E">
      <w:pPr>
        <w:pStyle w:val="Heading5"/>
      </w:pPr>
      <w:r w:rsidRPr="007B3DB8">
        <w:t>Business Case requirements</w:t>
      </w:r>
    </w:p>
    <w:p w14:paraId="5E3F47E9" w14:textId="554ECF4F" w:rsidR="00983AE6" w:rsidRPr="007B3DB8" w:rsidRDefault="00983AE6" w:rsidP="00983AE6">
      <w:r w:rsidRPr="007B3DB8">
        <w:t>The business case must address/provide the following:</w:t>
      </w:r>
    </w:p>
    <w:p w14:paraId="3CB690AF" w14:textId="77777777" w:rsidR="00983AE6" w:rsidRPr="007B3DB8" w:rsidRDefault="00983AE6" w:rsidP="00983AE6">
      <w:pPr>
        <w:pStyle w:val="ListBullet"/>
      </w:pPr>
      <w:r w:rsidRPr="007B3DB8">
        <w:t xml:space="preserve">list of the approved courses currently </w:t>
      </w:r>
      <w:r>
        <w:t>offered</w:t>
      </w:r>
    </w:p>
    <w:p w14:paraId="42D957A6" w14:textId="4B73DC0C" w:rsidR="00983AE6" w:rsidRPr="007B3DB8" w:rsidRDefault="00983AE6" w:rsidP="00983AE6">
      <w:pPr>
        <w:pStyle w:val="ListBullet"/>
      </w:pPr>
      <w:r w:rsidRPr="007B3DB8">
        <w:t>demonstrate</w:t>
      </w:r>
      <w:r w:rsidR="0018199A">
        <w:t>d</w:t>
      </w:r>
      <w:r w:rsidRPr="007B3DB8">
        <w:t xml:space="preserve"> track record of student progression and completion of approved courses, including if appropriate, similar courses to the additional requested courses (</w:t>
      </w:r>
      <w:r>
        <w:t>that is</w:t>
      </w:r>
      <w:r w:rsidRPr="007B3DB8">
        <w:t xml:space="preserve"> Certifi</w:t>
      </w:r>
      <w:r>
        <w:t>cate III/IV and Diploma levels)</w:t>
      </w:r>
    </w:p>
    <w:p w14:paraId="27045F7C" w14:textId="77777777" w:rsidR="00983AE6" w:rsidRPr="007B3DB8" w:rsidRDefault="00983AE6" w:rsidP="00983AE6">
      <w:pPr>
        <w:pStyle w:val="ListBullet"/>
      </w:pPr>
      <w:r w:rsidRPr="007B3DB8">
        <w:t>expected numbers of students for each</w:t>
      </w:r>
      <w:r>
        <w:t xml:space="preserve"> additional course</w:t>
      </w:r>
    </w:p>
    <w:p w14:paraId="6DCFEC44" w14:textId="36CD83BD" w:rsidR="00983AE6" w:rsidRPr="007B3DB8" w:rsidRDefault="00983AE6" w:rsidP="00983AE6">
      <w:pPr>
        <w:pStyle w:val="ListBullet"/>
      </w:pPr>
      <w:r w:rsidRPr="007B3DB8">
        <w:t xml:space="preserve">expected total amount of the proposed VET Student Loans to be </w:t>
      </w:r>
      <w:r>
        <w:t>used for each additional course</w:t>
      </w:r>
    </w:p>
    <w:p w14:paraId="5CA7CCD6" w14:textId="0543B92A" w:rsidR="00983AE6" w:rsidRPr="007B3DB8" w:rsidRDefault="0018199A" w:rsidP="00983AE6">
      <w:pPr>
        <w:pStyle w:val="ListBullet"/>
      </w:pPr>
      <w:r>
        <w:t>whether</w:t>
      </w:r>
      <w:r w:rsidRPr="007B3DB8">
        <w:t xml:space="preserve"> </w:t>
      </w:r>
      <w:r w:rsidR="00983AE6" w:rsidRPr="007B3DB8">
        <w:t>the additional cou</w:t>
      </w:r>
      <w:r w:rsidR="00983AE6">
        <w:t>rse replaces an approved course</w:t>
      </w:r>
    </w:p>
    <w:p w14:paraId="2C6A0962" w14:textId="77777777" w:rsidR="00983AE6" w:rsidRPr="007B3DB8" w:rsidRDefault="00983AE6" w:rsidP="00983AE6">
      <w:pPr>
        <w:pStyle w:val="ListBullet"/>
      </w:pPr>
      <w:r w:rsidRPr="007B3DB8">
        <w:t>information about the links the organisation has with industry and other bodies relevant to the additional course, and supporting references from industry and other bodies to ensure the additional course meets workplace needs a</w:t>
      </w:r>
      <w:r>
        <w:t>nd improves employment outcomes</w:t>
      </w:r>
    </w:p>
    <w:p w14:paraId="7AF6ADB2" w14:textId="77777777" w:rsidR="00983AE6" w:rsidRPr="007B3DB8" w:rsidRDefault="00983AE6" w:rsidP="00983AE6">
      <w:pPr>
        <w:pStyle w:val="ListBullet"/>
      </w:pPr>
      <w:r w:rsidRPr="007B3DB8">
        <w:t>the most recent results of the organisation’s assessment of student satisfactio</w:t>
      </w:r>
      <w:r>
        <w:t>n</w:t>
      </w:r>
    </w:p>
    <w:p w14:paraId="64726F3C" w14:textId="77777777" w:rsidR="00983AE6" w:rsidRPr="007B3DB8" w:rsidRDefault="00983AE6" w:rsidP="00983AE6">
      <w:pPr>
        <w:pStyle w:val="ListBullet"/>
      </w:pPr>
      <w:r w:rsidRPr="007B3DB8">
        <w:t>details and evidence of Trainer and Assessor qualificat</w:t>
      </w:r>
      <w:r>
        <w:t>ions for the additional courses</w:t>
      </w:r>
    </w:p>
    <w:p w14:paraId="15224E74" w14:textId="77777777" w:rsidR="00983AE6" w:rsidRPr="007B3DB8" w:rsidRDefault="00983AE6" w:rsidP="00983AE6">
      <w:pPr>
        <w:pStyle w:val="ListBullet"/>
      </w:pPr>
      <w:r w:rsidRPr="007B3DB8">
        <w:lastRenderedPageBreak/>
        <w:t>whether the course can be delivered within the current VET Student Loans funding or whether an increase to the provider fee limit is being sought.</w:t>
      </w:r>
    </w:p>
    <w:p w14:paraId="60288311" w14:textId="7B607F84" w:rsidR="007E3414" w:rsidRDefault="0018199A" w:rsidP="007E3414">
      <w:r>
        <w:t>A c</w:t>
      </w:r>
      <w:r w:rsidRPr="007B3DB8">
        <w:t xml:space="preserve">ompleted </w:t>
      </w:r>
      <w:r w:rsidRPr="007F376B">
        <w:rPr>
          <w:i/>
        </w:rPr>
        <w:t>Request for Additional Courses</w:t>
      </w:r>
      <w:r w:rsidRPr="007B3DB8">
        <w:t xml:space="preserve"> form</w:t>
      </w:r>
      <w:r>
        <w:t xml:space="preserve"> and the accompanying b</w:t>
      </w:r>
      <w:r w:rsidR="00983AE6" w:rsidRPr="007B3DB8">
        <w:t xml:space="preserve">usiness </w:t>
      </w:r>
      <w:r>
        <w:t>c</w:t>
      </w:r>
      <w:r w:rsidR="00983AE6" w:rsidRPr="007B3DB8">
        <w:t>ase</w:t>
      </w:r>
      <w:r w:rsidR="00983AE6">
        <w:t xml:space="preserve"> </w:t>
      </w:r>
      <w:r w:rsidR="007E3414">
        <w:t xml:space="preserve">should be submitted using the online enquiry form at </w:t>
      </w:r>
      <w:hyperlink r:id="rId57" w:history="1">
        <w:r w:rsidR="007E3414" w:rsidRPr="000F2914">
          <w:rPr>
            <w:rStyle w:val="Hyperlink"/>
          </w:rPr>
          <w:t>www.education.gov.au/information-vet-student-loans-approved-providers</w:t>
        </w:r>
      </w:hyperlink>
      <w:r w:rsidR="007E3414">
        <w:t>.</w:t>
      </w:r>
    </w:p>
    <w:p w14:paraId="0D391598" w14:textId="77777777" w:rsidR="007E3414" w:rsidRDefault="007E3414" w:rsidP="007E3414">
      <w:r>
        <w:t>Choose ‘Other’ from the drop down list and insert the subject line:</w:t>
      </w:r>
    </w:p>
    <w:p w14:paraId="61FE29B4" w14:textId="77777777" w:rsidR="007E3414" w:rsidRPr="0065023C" w:rsidRDefault="007E3414" w:rsidP="007E3414">
      <w:pPr>
        <w:rPr>
          <w:rStyle w:val="Emphasis"/>
        </w:rPr>
      </w:pPr>
      <w:r w:rsidRPr="0065023C">
        <w:rPr>
          <w:rStyle w:val="Emphasis"/>
        </w:rPr>
        <w:t xml:space="preserve">Request </w:t>
      </w:r>
      <w:r w:rsidR="007F376B">
        <w:rPr>
          <w:rStyle w:val="Emphasis"/>
        </w:rPr>
        <w:t xml:space="preserve">for </w:t>
      </w:r>
      <w:r>
        <w:rPr>
          <w:rStyle w:val="Emphasis"/>
        </w:rPr>
        <w:t>additional courses</w:t>
      </w:r>
      <w:r w:rsidRPr="0065023C">
        <w:rPr>
          <w:rStyle w:val="Emphasis"/>
        </w:rPr>
        <w:t xml:space="preserve"> - [provider name]</w:t>
      </w:r>
    </w:p>
    <w:p w14:paraId="6E92D526" w14:textId="77777777" w:rsidR="00983AE6" w:rsidRPr="006974D1" w:rsidRDefault="00983AE6" w:rsidP="00983AE6">
      <w:pPr>
        <w:pStyle w:val="Heading3"/>
      </w:pPr>
      <w:bookmarkStart w:id="259" w:name="_Toc477960172"/>
      <w:bookmarkStart w:id="260" w:name="_Toc477960612"/>
      <w:bookmarkStart w:id="261" w:name="_Toc477961051"/>
      <w:bookmarkStart w:id="262" w:name="_Toc477961529"/>
      <w:bookmarkStart w:id="263" w:name="_Toc477962011"/>
      <w:bookmarkStart w:id="264" w:name="_Toc477962498"/>
      <w:bookmarkStart w:id="265" w:name="_Toc477962984"/>
      <w:bookmarkStart w:id="266" w:name="_Toc477963471"/>
      <w:bookmarkStart w:id="267" w:name="_Toc478042662"/>
      <w:bookmarkStart w:id="268" w:name="_Toc478366909"/>
      <w:bookmarkStart w:id="269" w:name="_Toc479083510"/>
      <w:bookmarkStart w:id="270" w:name="_Toc483222825"/>
      <w:bookmarkStart w:id="271" w:name="_Toc501621198"/>
      <w:bookmarkEnd w:id="259"/>
      <w:bookmarkEnd w:id="260"/>
      <w:bookmarkEnd w:id="261"/>
      <w:bookmarkEnd w:id="262"/>
      <w:bookmarkEnd w:id="263"/>
      <w:bookmarkEnd w:id="264"/>
      <w:bookmarkEnd w:id="265"/>
      <w:bookmarkEnd w:id="266"/>
      <w:bookmarkEnd w:id="267"/>
      <w:bookmarkEnd w:id="268"/>
      <w:bookmarkEnd w:id="269"/>
      <w:r w:rsidRPr="006974D1">
        <w:t>4.5.2   Multiple qualifications</w:t>
      </w:r>
      <w:bookmarkEnd w:id="270"/>
      <w:bookmarkEnd w:id="271"/>
    </w:p>
    <w:p w14:paraId="12080F30" w14:textId="77777777" w:rsidR="00983AE6" w:rsidRDefault="00983AE6" w:rsidP="00983AE6">
      <w:pPr>
        <w:rPr>
          <w:color w:val="0070C0"/>
        </w:rPr>
      </w:pPr>
      <w:r w:rsidRPr="00411488">
        <w:t xml:space="preserve">Approved courses must be courses that lead to a qualification of either a diploma, advanced diploma, graduate certificate or graduate diploma in the Australian Qualifications Framework </w:t>
      </w:r>
      <w:r w:rsidRPr="006974D1">
        <w:rPr>
          <w:rStyle w:val="ReferenceChar"/>
        </w:rPr>
        <w:t>[Act s 14]</w:t>
      </w:r>
      <w:r w:rsidRPr="001710B1">
        <w:t>.</w:t>
      </w:r>
      <w:r w:rsidRPr="00411488">
        <w:rPr>
          <w:color w:val="0070C0"/>
        </w:rPr>
        <w:t xml:space="preserve"> </w:t>
      </w:r>
    </w:p>
    <w:p w14:paraId="5A3B6BFE" w14:textId="77777777" w:rsidR="00983AE6" w:rsidRPr="00411488" w:rsidRDefault="00983AE6" w:rsidP="00983AE6">
      <w:r w:rsidRPr="00411488">
        <w:t>The term ‘double diploma’ is not recognised in the Act or the Australian Qualifications Framework as an approved course type.</w:t>
      </w:r>
    </w:p>
    <w:p w14:paraId="34AADB05" w14:textId="77777777" w:rsidR="00983AE6" w:rsidRPr="00411488" w:rsidRDefault="00983AE6" w:rsidP="00983AE6">
      <w:r w:rsidRPr="00411488">
        <w:t xml:space="preserve">While students may undertake more than one course in the same study period, for the purposes of the VET </w:t>
      </w:r>
      <w:r w:rsidR="007F5C92">
        <w:t>S</w:t>
      </w:r>
      <w:r w:rsidRPr="00411488">
        <w:t xml:space="preserve">tudent </w:t>
      </w:r>
      <w:r w:rsidR="007F5C92">
        <w:t>L</w:t>
      </w:r>
      <w:r w:rsidRPr="00411488">
        <w:t xml:space="preserve">oans program, and notwithstanding any relationship between the courses, the student’s enrolments are treated as separate enrolments and all requirements in </w:t>
      </w:r>
      <w:r>
        <w:t xml:space="preserve">the </w:t>
      </w:r>
      <w:r w:rsidRPr="00411488">
        <w:t>Act and the</w:t>
      </w:r>
      <w:r>
        <w:rPr>
          <w:i/>
        </w:rPr>
        <w:t xml:space="preserve"> </w:t>
      </w:r>
      <w:r>
        <w:t>Rules</w:t>
      </w:r>
      <w:r w:rsidRPr="00411488">
        <w:t xml:space="preserve"> apply with respect to each enrolment.</w:t>
      </w:r>
    </w:p>
    <w:p w14:paraId="19A1304D" w14:textId="77777777" w:rsidR="00983AE6" w:rsidRPr="00411488" w:rsidRDefault="00983AE6" w:rsidP="00983AE6">
      <w:r w:rsidRPr="00411488">
        <w:t xml:space="preserve">The </w:t>
      </w:r>
      <w:r>
        <w:t>Determination</w:t>
      </w:r>
      <w:r w:rsidRPr="00411488">
        <w:t xml:space="preserve"> specifies the maximum loan amount for each approved course. A student may access a VET loan for an amount up to the specified loan cap allocated for each approved course in which the student enrols, provided the student meets all eligibility requirements </w:t>
      </w:r>
      <w:r w:rsidRPr="006974D1">
        <w:rPr>
          <w:rStyle w:val="ReferenceChar"/>
        </w:rPr>
        <w:t>[Act Division 2 of Pt 2]</w:t>
      </w:r>
      <w:r w:rsidRPr="00411488">
        <w:t>.</w:t>
      </w:r>
    </w:p>
    <w:p w14:paraId="57C6B983" w14:textId="2E525063" w:rsidR="00983AE6" w:rsidRPr="00411488" w:rsidRDefault="00983AE6" w:rsidP="00983AE6">
      <w:r w:rsidRPr="00411488">
        <w:t xml:space="preserve">Providers are required to provide information to the department about any courses offered that lead to multiple qualifications at the same level (for example, 2 diplomas) as part of the Annual Forecast </w:t>
      </w:r>
      <w:r w:rsidR="008A5632" w:rsidRPr="00B907EC">
        <w:rPr>
          <w:rStyle w:val="ReferenceChar"/>
        </w:rPr>
        <w:t>[Rules</w:t>
      </w:r>
      <w:r w:rsidRPr="00B907EC">
        <w:rPr>
          <w:rStyle w:val="ReferenceChar"/>
        </w:rPr>
        <w:t xml:space="preserve"> paragraph 116(1)(e)</w:t>
      </w:r>
      <w:r w:rsidR="008A5632" w:rsidRPr="00B907EC">
        <w:rPr>
          <w:rStyle w:val="ReferenceChar"/>
        </w:rPr>
        <w:t>]</w:t>
      </w:r>
      <w:r w:rsidRPr="00411488">
        <w:t xml:space="preserve">. </w:t>
      </w:r>
    </w:p>
    <w:p w14:paraId="7DC7B1A0" w14:textId="77777777" w:rsidR="00983AE6" w:rsidRDefault="00983AE6" w:rsidP="00983AE6">
      <w:r w:rsidRPr="00411488">
        <w:t xml:space="preserve">Providers may set tuition fees for approved courses that are higher or lower than the </w:t>
      </w:r>
      <w:hyperlink w:anchor="_Loan_caps" w:history="1">
        <w:r w:rsidRPr="006974D1">
          <w:rPr>
            <w:rStyle w:val="Strong"/>
          </w:rPr>
          <w:t>loan cap</w:t>
        </w:r>
      </w:hyperlink>
      <w:r w:rsidRPr="00411488">
        <w:t xml:space="preserve"> set out in the Determination. Where a student receives credit recognition or recognised prior learning for a particular approved course, it is open to a provider to set a lower tuition fee that is commensurate to the remaining portion of the course the student must complete. </w:t>
      </w:r>
    </w:p>
    <w:p w14:paraId="70F63B90" w14:textId="77777777" w:rsidR="000671E4" w:rsidRDefault="000671E4" w:rsidP="00983AE6">
      <w:r>
        <w:t>Providers should have regard to section 4.8.9 ‘</w:t>
      </w:r>
      <w:hyperlink w:anchor="_Refund_of_tuition" w:history="1">
        <w:r w:rsidRPr="000671E4">
          <w:rPr>
            <w:rStyle w:val="Hyperlink"/>
          </w:rPr>
          <w:t>Determining tuition fees</w:t>
        </w:r>
      </w:hyperlink>
      <w:r>
        <w:t>’ for further information.</w:t>
      </w:r>
    </w:p>
    <w:p w14:paraId="3157E7A5" w14:textId="77777777" w:rsidR="007228C7" w:rsidRDefault="00944535" w:rsidP="00ED165B">
      <w:pPr>
        <w:pStyle w:val="ListBullet"/>
        <w:numPr>
          <w:ilvl w:val="0"/>
          <w:numId w:val="0"/>
        </w:numPr>
        <w:shd w:val="clear" w:color="auto" w:fill="FDE9D9" w:themeFill="accent6" w:themeFillTint="33"/>
        <w:rPr>
          <w:rStyle w:val="Strong"/>
        </w:rPr>
      </w:pPr>
      <w:r w:rsidRPr="006974D1">
        <w:rPr>
          <w:rStyle w:val="Strong"/>
        </w:rPr>
        <w:t>IMPORTANT NOTE: Where a provider is in any doubt as to its compliance with the requirements of the Act or the Rules, the provider should seek independent legal advice.</w:t>
      </w:r>
      <w:bookmarkStart w:id="272" w:name="_Toc483222826"/>
    </w:p>
    <w:p w14:paraId="145E60D0" w14:textId="26E2B325" w:rsidR="00983AE6" w:rsidRPr="006974D1" w:rsidRDefault="00983AE6" w:rsidP="007228C7">
      <w:pPr>
        <w:pStyle w:val="Heading3"/>
      </w:pPr>
      <w:bookmarkStart w:id="273" w:name="_4.5.3__"/>
      <w:bookmarkStart w:id="274" w:name="_Toc501621199"/>
      <w:bookmarkStart w:id="275" w:name="IMPORTANT_NOTE"/>
      <w:bookmarkEnd w:id="273"/>
      <w:r w:rsidRPr="006974D1">
        <w:t>4.5.3   Superseded</w:t>
      </w:r>
      <w:r w:rsidR="000C2348" w:rsidRPr="00D123AE">
        <w:t>, deleted and non-current</w:t>
      </w:r>
      <w:r w:rsidRPr="006974D1">
        <w:t xml:space="preserve"> </w:t>
      </w:r>
      <w:r w:rsidR="000C2348">
        <w:t>c</w:t>
      </w:r>
      <w:r w:rsidRPr="006974D1">
        <w:t>ourses</w:t>
      </w:r>
      <w:bookmarkEnd w:id="272"/>
      <w:bookmarkEnd w:id="274"/>
      <w:r w:rsidRPr="006974D1">
        <w:t xml:space="preserve"> </w:t>
      </w:r>
    </w:p>
    <w:bookmarkEnd w:id="275"/>
    <w:p w14:paraId="03B4C410" w14:textId="2E15413B" w:rsidR="000C2348" w:rsidRPr="00640408" w:rsidRDefault="000C2348" w:rsidP="000C2348">
      <w:pPr>
        <w:rPr>
          <w:b/>
        </w:rPr>
      </w:pPr>
      <w:r w:rsidRPr="00640408">
        <w:rPr>
          <w:b/>
        </w:rPr>
        <w:t>For information regarding superseded course</w:t>
      </w:r>
      <w:r>
        <w:rPr>
          <w:b/>
        </w:rPr>
        <w:t>s</w:t>
      </w:r>
      <w:r w:rsidRPr="00640408">
        <w:rPr>
          <w:b/>
        </w:rPr>
        <w:t xml:space="preserve"> for </w:t>
      </w:r>
      <w:r>
        <w:rPr>
          <w:b/>
        </w:rPr>
        <w:t xml:space="preserve">VET FEE-HELP </w:t>
      </w:r>
      <w:r w:rsidRPr="00640408">
        <w:rPr>
          <w:b/>
        </w:rPr>
        <w:t>grandfathered student</w:t>
      </w:r>
      <w:r>
        <w:rPr>
          <w:b/>
        </w:rPr>
        <w:t>s</w:t>
      </w:r>
      <w:r w:rsidRPr="00640408">
        <w:rPr>
          <w:b/>
        </w:rPr>
        <w:t xml:space="preserve"> see </w:t>
      </w:r>
      <w:hyperlink w:anchor="_2.3_Superseded_courses" w:history="1">
        <w:r w:rsidRPr="00640408">
          <w:rPr>
            <w:rStyle w:val="Hyperlink"/>
          </w:rPr>
          <w:t>section</w:t>
        </w:r>
        <w:r>
          <w:rPr>
            <w:rStyle w:val="Hyperlink"/>
          </w:rPr>
          <w:t> </w:t>
        </w:r>
        <w:r w:rsidRPr="00640408">
          <w:rPr>
            <w:rStyle w:val="Hyperlink"/>
          </w:rPr>
          <w:t>2.</w:t>
        </w:r>
        <w:r w:rsidR="00A7478B">
          <w:rPr>
            <w:rStyle w:val="Hyperlink"/>
          </w:rPr>
          <w:t>4</w:t>
        </w:r>
      </w:hyperlink>
      <w:r w:rsidRPr="00640408">
        <w:rPr>
          <w:b/>
        </w:rPr>
        <w:t>.</w:t>
      </w:r>
    </w:p>
    <w:p w14:paraId="68A455C4" w14:textId="20A6BD64" w:rsidR="003059B7" w:rsidRPr="00ED165B" w:rsidRDefault="00983AE6" w:rsidP="00ED165B">
      <w:pPr>
        <w:shd w:val="clear" w:color="auto" w:fill="FFFFFF" w:themeFill="background1"/>
      </w:pPr>
      <w:r w:rsidRPr="008A68E3">
        <w:t>Training packages are regularly updated. In the case where a course becomes superseded, non</w:t>
      </w:r>
      <w:r w:rsidR="000C2348">
        <w:noBreakHyphen/>
      </w:r>
      <w:r w:rsidRPr="008A68E3">
        <w:t xml:space="preserve">current, or deleted (as managed by the Australian Skills Quality Authority [ASQA] and reflected on training.gov.au), affected students accessing a VET Student Loan will continue to have an approved loan for the remainder of study in that course. If not all the loan has been paid out at the time that the course becomes superseded, non-current or deleted, the students can continue to receive loan payments through the student’s provider for that course. </w:t>
      </w:r>
      <w:r w:rsidRPr="00922CE9">
        <w:t xml:space="preserve">From the date the course </w:t>
      </w:r>
      <w:r w:rsidR="00806315" w:rsidRPr="0028499D">
        <w:t xml:space="preserve">is removed from the </w:t>
      </w:r>
      <w:hyperlink r:id="rId58" w:history="1">
        <w:r w:rsidR="004A0688" w:rsidRPr="00922CE9">
          <w:rPr>
            <w:rStyle w:val="Hyperlink"/>
          </w:rPr>
          <w:t>VET Student Loans (</w:t>
        </w:r>
        <w:r w:rsidR="000E1D56">
          <w:rPr>
            <w:rStyle w:val="Hyperlink"/>
          </w:rPr>
          <w:t>C</w:t>
        </w:r>
        <w:r w:rsidR="004A0688" w:rsidRPr="00922CE9">
          <w:rPr>
            <w:rStyle w:val="Hyperlink"/>
          </w:rPr>
          <w:t>ourses and Loan Caps) Determination 2016 (Courses and Loan Caps Determination)</w:t>
        </w:r>
      </w:hyperlink>
      <w:r w:rsidR="00806315" w:rsidRPr="0028499D">
        <w:t xml:space="preserve">, </w:t>
      </w:r>
      <w:r w:rsidRPr="00922CE9">
        <w:t xml:space="preserve">no new students can </w:t>
      </w:r>
      <w:r w:rsidRPr="00DF5F7E">
        <w:t xml:space="preserve">enrol under VET Student Loans in that course. </w:t>
      </w:r>
      <w:r w:rsidR="00806315" w:rsidRPr="00ED165B">
        <w:t>Courses that become superseded, non</w:t>
      </w:r>
      <w:r w:rsidR="00806315" w:rsidRPr="00ED165B">
        <w:noBreakHyphen/>
        <w:t xml:space="preserve">current or deleted will be removed from the Courses and Loan Caps Determination in regular updates </w:t>
      </w:r>
      <w:r w:rsidR="0026782C" w:rsidRPr="00ED165B">
        <w:t xml:space="preserve">to the Courses and Loan Caps Determination </w:t>
      </w:r>
      <w:r w:rsidR="00806315" w:rsidRPr="00ED165B">
        <w:t xml:space="preserve">– expected to occur </w:t>
      </w:r>
      <w:r w:rsidR="00806315" w:rsidRPr="00ED165B">
        <w:lastRenderedPageBreak/>
        <w:t>twice annually.</w:t>
      </w:r>
      <w:r w:rsidR="00FD0C2A" w:rsidRPr="00ED165B">
        <w:t xml:space="preserve"> </w:t>
      </w:r>
      <w:r w:rsidR="003059B7" w:rsidRPr="00ED165B">
        <w:t xml:space="preserve">Similarly, replacement (new) courses will be added from time to time to the Courses and Loan Caps Determination. </w:t>
      </w:r>
      <w:r w:rsidR="003059B7" w:rsidRPr="00E00486">
        <w:rPr>
          <w:b/>
        </w:rPr>
        <w:t>Loans will not be available for the replacement (new) course until it has been added to the Courses and Loan Caps Determination</w:t>
      </w:r>
      <w:r w:rsidR="00E00486">
        <w:rPr>
          <w:b/>
        </w:rPr>
        <w:t>, and until provider conditions are updated</w:t>
      </w:r>
      <w:r w:rsidR="003059B7" w:rsidRPr="00ED165B">
        <w:t xml:space="preserve">. </w:t>
      </w:r>
    </w:p>
    <w:p w14:paraId="48D24BA4" w14:textId="15465A72" w:rsidR="00983AE6" w:rsidRPr="008A68E3" w:rsidRDefault="00FD0C2A" w:rsidP="00ED165B">
      <w:pPr>
        <w:shd w:val="clear" w:color="auto" w:fill="FFFFFF" w:themeFill="background1"/>
      </w:pPr>
      <w:r w:rsidRPr="00ED165B">
        <w:t xml:space="preserve">Where students choose or are required to transition </w:t>
      </w:r>
      <w:r w:rsidR="003059B7" w:rsidRPr="00ED165B">
        <w:t xml:space="preserve">from </w:t>
      </w:r>
      <w:r w:rsidRPr="00ED165B">
        <w:t xml:space="preserve">the superseded </w:t>
      </w:r>
      <w:r w:rsidR="003059B7" w:rsidRPr="00ED165B">
        <w:t xml:space="preserve">to the </w:t>
      </w:r>
      <w:r w:rsidRPr="00ED165B">
        <w:t xml:space="preserve">replacement course, a new eCAF application will be required </w:t>
      </w:r>
      <w:r w:rsidR="003059B7" w:rsidRPr="00ED165B">
        <w:t xml:space="preserve">to be submitted by the student prior to the first census day in the replacement course </w:t>
      </w:r>
      <w:r w:rsidRPr="00ED165B">
        <w:t xml:space="preserve">and the student will </w:t>
      </w:r>
      <w:r w:rsidR="003059B7" w:rsidRPr="00ED165B">
        <w:t>have</w:t>
      </w:r>
      <w:r w:rsidRPr="00ED165B">
        <w:t xml:space="preserve"> access </w:t>
      </w:r>
      <w:r w:rsidR="003059B7" w:rsidRPr="00ED165B">
        <w:t xml:space="preserve">to </w:t>
      </w:r>
      <w:r w:rsidRPr="00ED165B">
        <w:t xml:space="preserve">the maximum loan amount for the new </w:t>
      </w:r>
      <w:r w:rsidR="003059B7" w:rsidRPr="00ED165B">
        <w:t xml:space="preserve">(replacement) </w:t>
      </w:r>
      <w:r w:rsidRPr="00ED165B">
        <w:t>course</w:t>
      </w:r>
      <w:r w:rsidR="003059B7" w:rsidRPr="00ED165B">
        <w:t xml:space="preserve"> if required</w:t>
      </w:r>
      <w:r w:rsidRPr="00ED165B">
        <w:t>.</w:t>
      </w:r>
    </w:p>
    <w:p w14:paraId="46ACA466" w14:textId="6A5FBECB" w:rsidR="00983AE6" w:rsidRPr="003C72BD" w:rsidRDefault="00983AE6" w:rsidP="00983AE6">
      <w:r w:rsidRPr="008A68E3">
        <w:t xml:space="preserve">For providers approved to deliver a course under VET Student Loans, and that course becomes superseded, the provider is automatically approved to deliver the new course under VET Student Loans </w:t>
      </w:r>
      <w:r w:rsidRPr="0028499D">
        <w:rPr>
          <w:u w:val="single"/>
        </w:rPr>
        <w:t>once the replacement course has been added to the Determination</w:t>
      </w:r>
      <w:r w:rsidR="00AF6CAE">
        <w:rPr>
          <w:u w:val="single"/>
        </w:rPr>
        <w:t xml:space="preserve"> and after provider conditions have been updated</w:t>
      </w:r>
      <w:r w:rsidRPr="002B512F">
        <w:t xml:space="preserve">, </w:t>
      </w:r>
      <w:r w:rsidRPr="008A68E3">
        <w:t xml:space="preserve">with no change to their provider cap. </w:t>
      </w:r>
      <w:r w:rsidRPr="00ED165B">
        <w:t>Further details of the process will be made available in the coming months.</w:t>
      </w:r>
      <w:r w:rsidRPr="003C72BD">
        <w:t xml:space="preserve"> </w:t>
      </w:r>
      <w:bookmarkStart w:id="276" w:name="_Toc481649813"/>
      <w:bookmarkStart w:id="277" w:name="_Toc481650289"/>
      <w:bookmarkStart w:id="278" w:name="_Toc479083513"/>
      <w:bookmarkStart w:id="279" w:name="_Toc479083515"/>
      <w:bookmarkStart w:id="280" w:name="_Toc479083516"/>
      <w:bookmarkStart w:id="281" w:name="_Toc479083517"/>
      <w:bookmarkStart w:id="282" w:name="_Toc479083518"/>
      <w:bookmarkStart w:id="283" w:name="_Toc479083519"/>
      <w:bookmarkStart w:id="284" w:name="_Toc479083520"/>
      <w:bookmarkStart w:id="285" w:name="_Toc479083521"/>
      <w:bookmarkStart w:id="286" w:name="_Loan_caps"/>
      <w:bookmarkEnd w:id="276"/>
      <w:bookmarkEnd w:id="277"/>
      <w:bookmarkEnd w:id="278"/>
      <w:bookmarkEnd w:id="279"/>
      <w:bookmarkEnd w:id="280"/>
      <w:bookmarkEnd w:id="281"/>
      <w:bookmarkEnd w:id="282"/>
      <w:bookmarkEnd w:id="283"/>
      <w:bookmarkEnd w:id="284"/>
      <w:bookmarkEnd w:id="285"/>
      <w:bookmarkEnd w:id="286"/>
    </w:p>
    <w:p w14:paraId="682BC461" w14:textId="088429C3" w:rsidR="000C2348" w:rsidRPr="003C72BD" w:rsidRDefault="000C2348" w:rsidP="000C2348">
      <w:pPr>
        <w:rPr>
          <w:b/>
        </w:rPr>
      </w:pPr>
      <w:r w:rsidRPr="003C72BD">
        <w:rPr>
          <w:b/>
        </w:rPr>
        <w:t xml:space="preserve">Note: VET FEE-HELP providers with VET FEE-HELP grandfathered students should refer to </w:t>
      </w:r>
      <w:hyperlink w:anchor="_2._Managing_existing_1" w:history="1">
        <w:r w:rsidRPr="00A5748D">
          <w:rPr>
            <w:b/>
            <w:color w:val="002060"/>
          </w:rPr>
          <w:t>chapter 2 of this Manual</w:t>
        </w:r>
      </w:hyperlink>
      <w:r w:rsidRPr="003C72BD">
        <w:rPr>
          <w:b/>
        </w:rPr>
        <w:t xml:space="preserve">. </w:t>
      </w:r>
    </w:p>
    <w:p w14:paraId="52521AA5" w14:textId="77777777" w:rsidR="00983AE6" w:rsidRPr="003C72BD" w:rsidRDefault="00983AE6" w:rsidP="003C72BD">
      <w:pPr>
        <w:pStyle w:val="Heading3"/>
      </w:pPr>
      <w:bookmarkStart w:id="287" w:name="_4.5.4__"/>
      <w:bookmarkStart w:id="288" w:name="_Toc483222827"/>
      <w:bookmarkStart w:id="289" w:name="_Toc501621200"/>
      <w:bookmarkEnd w:id="287"/>
      <w:r w:rsidRPr="003C72BD">
        <w:t>4.5.4   Loan caps</w:t>
      </w:r>
      <w:bookmarkEnd w:id="288"/>
      <w:bookmarkEnd w:id="289"/>
    </w:p>
    <w:p w14:paraId="171907CB" w14:textId="77777777" w:rsidR="00AF6CAE" w:rsidRDefault="00B004A0" w:rsidP="00B004A0">
      <w:bookmarkStart w:id="290" w:name="_Toc479083523"/>
      <w:bookmarkStart w:id="291" w:name="_Toc479083524"/>
      <w:bookmarkStart w:id="292" w:name="_Provider_fee_limit"/>
      <w:bookmarkStart w:id="293" w:name="_Toc483222828"/>
      <w:bookmarkEnd w:id="290"/>
      <w:bookmarkEnd w:id="291"/>
      <w:bookmarkEnd w:id="292"/>
      <w:r w:rsidRPr="003C72BD">
        <w:t>The majority of approved courses are subject to one of three loan caps, $5000, $10,000 and $15,000, based on NSW Independent Pricing and Regulatory Tribunal (IPART) analysis. These loan caps apply irrespective of the mode of delivery of the course (face-to-face, online, or mixed mode). In recognition of the high costs of delivery and training, a loan cap of $75,000 applies to certain aviation course</w:t>
      </w:r>
      <w:r w:rsidR="00967613" w:rsidRPr="003C72BD">
        <w:t>s</w:t>
      </w:r>
      <w:r w:rsidRPr="003C72BD">
        <w:t xml:space="preserve">. </w:t>
      </w:r>
    </w:p>
    <w:p w14:paraId="32F7E80F" w14:textId="1164EDB5" w:rsidR="00B004A0" w:rsidRPr="003C72BD" w:rsidRDefault="00B004A0" w:rsidP="00B004A0">
      <w:r w:rsidRPr="003C72BD">
        <w:t xml:space="preserve">The maximum course caps that apply at a point in time are as set out in the </w:t>
      </w:r>
      <w:hyperlink r:id="rId59" w:history="1">
        <w:r w:rsidRPr="003C72BD">
          <w:rPr>
            <w:rStyle w:val="Hyperlink"/>
          </w:rPr>
          <w:t>Courses and Loan Caps Determination</w:t>
        </w:r>
      </w:hyperlink>
      <w:r w:rsidRPr="003C72BD">
        <w:t xml:space="preserve"> that is applicable to the approved course at the time of the loan approval.</w:t>
      </w:r>
      <w:r w:rsidR="00AF6CAE">
        <w:t xml:space="preserve"> Indexation occurs annually from 1 January.</w:t>
      </w:r>
    </w:p>
    <w:p w14:paraId="6B8E609D" w14:textId="77777777" w:rsidR="00B004A0" w:rsidRPr="003C72BD" w:rsidRDefault="00B004A0" w:rsidP="00B004A0">
      <w:r w:rsidRPr="003C72BD">
        <w:t>Establishing loan caps on courses does not prevent approved course providers from setting tuition fees above the cap; rather, it sets a ceiling on the maximum loan amount the government may lend a student for tuition fees for the course.</w:t>
      </w:r>
    </w:p>
    <w:p w14:paraId="501D46B8" w14:textId="760DBE52" w:rsidR="00B004A0" w:rsidRPr="003C72BD" w:rsidRDefault="00B004A0" w:rsidP="00B004A0">
      <w:r w:rsidRPr="003C72BD">
        <w:t>If a student wishes to undertake an approved course with an approved course provider that charges above the allocated loan cap for the course, the student will need to pay for the difference (gap fee) according to the provider’s billing and payment arrangements</w:t>
      </w:r>
      <w:r w:rsidR="00967613" w:rsidRPr="003C72BD">
        <w:t xml:space="preserve">, which must be consistent with charging tuition fees over </w:t>
      </w:r>
      <w:hyperlink w:anchor="_Fee_periods_1" w:history="1">
        <w:r w:rsidR="00967613" w:rsidRPr="003C72BD">
          <w:rPr>
            <w:rStyle w:val="Hyperlink"/>
          </w:rPr>
          <w:t>fee periods</w:t>
        </w:r>
      </w:hyperlink>
      <w:r w:rsidRPr="003C72BD">
        <w:t xml:space="preserve">.  </w:t>
      </w:r>
      <w:r w:rsidRPr="00A81EF7">
        <w:t xml:space="preserve">The rules requiring a provider to proportionately spread tuition fees over the </w:t>
      </w:r>
      <w:hyperlink w:anchor="_Fee_periods_1" w:history="1">
        <w:r w:rsidRPr="00A81EF7">
          <w:rPr>
            <w:rStyle w:val="Hyperlink"/>
          </w:rPr>
          <w:t>fee periods</w:t>
        </w:r>
      </w:hyperlink>
      <w:r w:rsidRPr="00A81EF7">
        <w:rPr>
          <w:rStyle w:val="Hyperlink"/>
        </w:rPr>
        <w:t xml:space="preserve"> </w:t>
      </w:r>
      <w:r w:rsidRPr="00A81EF7">
        <w:t xml:space="preserve">of a course apply to the gap fees as well as to </w:t>
      </w:r>
      <w:r w:rsidR="00A54835">
        <w:t>the tuition fees covered by VET </w:t>
      </w:r>
      <w:r w:rsidRPr="00A81EF7">
        <w:t>Student Loans.</w:t>
      </w:r>
    </w:p>
    <w:p w14:paraId="0E2ED90A" w14:textId="2E0BEB0A" w:rsidR="00B004A0" w:rsidRPr="00EA2BF5" w:rsidRDefault="00A0378F" w:rsidP="001A2FCE">
      <w:pPr>
        <w:pStyle w:val="Heading5"/>
      </w:pPr>
      <w:bookmarkStart w:id="294" w:name="_Loan_caps_and"/>
      <w:bookmarkStart w:id="295" w:name="_Changes_to_loan"/>
      <w:bookmarkEnd w:id="294"/>
      <w:bookmarkEnd w:id="295"/>
      <w:r w:rsidRPr="00EA2BF5">
        <w:t>Changes to l</w:t>
      </w:r>
      <w:r w:rsidR="00B004A0" w:rsidRPr="00EA2BF5">
        <w:t xml:space="preserve">oan caps </w:t>
      </w:r>
      <w:r w:rsidRPr="00EA2BF5">
        <w:t>over time, including</w:t>
      </w:r>
      <w:r w:rsidR="00B004A0" w:rsidRPr="00EA2BF5">
        <w:t xml:space="preserve"> indexation</w:t>
      </w:r>
    </w:p>
    <w:p w14:paraId="376B0D95" w14:textId="77777777" w:rsidR="00A54835" w:rsidRPr="0056125B" w:rsidRDefault="00A54835" w:rsidP="00A54835">
      <w:r w:rsidRPr="0056125B">
        <w:t xml:space="preserve">Under section 6 of the </w:t>
      </w:r>
      <w:r w:rsidRPr="0056125B">
        <w:rPr>
          <w:i/>
          <w:iCs/>
        </w:rPr>
        <w:t xml:space="preserve">VET Student Loans (Courses and Loan Caps) Determination 2016, </w:t>
      </w:r>
      <w:r w:rsidRPr="0056125B">
        <w:t xml:space="preserve">the maximum loan amount for a course is indexed on 1 January 2018, and each subsequent 1 January, by multiplying it by the indexation factor for the relevant year. </w:t>
      </w:r>
    </w:p>
    <w:p w14:paraId="20F4EBEA" w14:textId="77777777" w:rsidR="00A54835" w:rsidRPr="0056125B" w:rsidRDefault="00A54835" w:rsidP="00A54835">
      <w:r w:rsidRPr="0056125B">
        <w:t>The eCAF system will automatically apply the indexed amount to the applicable loan for all loan approvals from 1 January 2018, and for every subsequent year. The maximum loan amount for courses approved in 2017 and that are continuing into 2018 will also be increased by the indexed factor. This means that students who have had their loan amount approved in 2017 will not need to reapply to access the increased (indexed) amount in the new year.</w:t>
      </w:r>
    </w:p>
    <w:p w14:paraId="646B4273" w14:textId="41C5FE1E" w:rsidR="00B004A0" w:rsidRPr="00EA2BF5" w:rsidRDefault="00B004A0" w:rsidP="00AF6CAE">
      <w:pPr>
        <w:pStyle w:val="Heading5"/>
        <w:keepNext/>
        <w:keepLines/>
      </w:pPr>
      <w:bookmarkStart w:id="296" w:name="_Tracking_students’_course"/>
      <w:bookmarkStart w:id="297" w:name="_Toc487179958"/>
      <w:bookmarkEnd w:id="296"/>
      <w:r w:rsidRPr="00EA2BF5">
        <w:lastRenderedPageBreak/>
        <w:t>Tracking students’ course cap ‘balance’</w:t>
      </w:r>
      <w:bookmarkEnd w:id="297"/>
    </w:p>
    <w:p w14:paraId="01E134EF" w14:textId="6BB7E609" w:rsidR="00B004A0" w:rsidRDefault="001765DC" w:rsidP="00B004A0">
      <w:r>
        <w:t>A FEE-HELP limit as well as maximum course cap</w:t>
      </w:r>
      <w:r w:rsidR="00183431">
        <w:t>s</w:t>
      </w:r>
      <w:r>
        <w:t xml:space="preserve"> apply to the amount of loan a student may access for a course. </w:t>
      </w:r>
      <w:r w:rsidR="00B004A0" w:rsidRPr="000D4436">
        <w:t>Students are required to meet the eligibility requirements</w:t>
      </w:r>
      <w:r w:rsidR="00B004A0">
        <w:t xml:space="preserve"> </w:t>
      </w:r>
      <w:r>
        <w:t xml:space="preserve">for access to a loan, including </w:t>
      </w:r>
      <w:r w:rsidR="00B004A0">
        <w:t>ensur</w:t>
      </w:r>
      <w:r>
        <w:t>ing</w:t>
      </w:r>
      <w:r w:rsidR="00B004A0">
        <w:t xml:space="preserve"> the amount of the loan is not greater than the student’s remaining </w:t>
      </w:r>
      <w:hyperlink w:anchor="_FEE-HELP_balance_1" w:history="1">
        <w:r w:rsidR="00B004A0" w:rsidRPr="008A5632">
          <w:rPr>
            <w:rStyle w:val="Hyperlink"/>
          </w:rPr>
          <w:t>FEE-HELP balance</w:t>
        </w:r>
      </w:hyperlink>
      <w:r w:rsidR="00B004A0" w:rsidRPr="000D4436">
        <w:t>.</w:t>
      </w:r>
      <w:r w:rsidR="008A5632">
        <w:t xml:space="preserve"> </w:t>
      </w:r>
      <w:r w:rsidR="00B004A0">
        <w:t xml:space="preserve"> </w:t>
      </w:r>
      <w:r>
        <w:t>In terms of the maximum course cap available, i</w:t>
      </w:r>
      <w:r w:rsidR="00B004A0">
        <w:t xml:space="preserve">f students change providers and continue studying the same course, there is no increase to their course cap and their course cap does not ‘re-set’. </w:t>
      </w:r>
    </w:p>
    <w:p w14:paraId="37B871AB" w14:textId="01C5A9D4" w:rsidR="00B004A0" w:rsidRDefault="00B004A0" w:rsidP="00B004A0">
      <w:r w:rsidRPr="003E1D3C">
        <w:t xml:space="preserve">There is no functionality in HEIMS currently to check students’ course cap balances. </w:t>
      </w:r>
    </w:p>
    <w:p w14:paraId="39ED737B" w14:textId="77777777" w:rsidR="00B004A0" w:rsidRDefault="00B004A0" w:rsidP="00B004A0">
      <w:r>
        <w:t>If the student has accessed a VET Student Loan in the past and is continuing to study the same course with a second provider, the provider should seek relevant information from the student as to when the student applied for the loan for the course (to determine the loan cap that applied at the time) and the amount of loan accessed to date.</w:t>
      </w:r>
      <w:r w:rsidR="001765DC">
        <w:t xml:space="preserve"> </w:t>
      </w:r>
    </w:p>
    <w:p w14:paraId="657415AA" w14:textId="0021EF36" w:rsidR="00B004A0" w:rsidRPr="00EA2BF5" w:rsidRDefault="00B004A0" w:rsidP="001A2FCE">
      <w:pPr>
        <w:pStyle w:val="Heading5"/>
      </w:pPr>
      <w:bookmarkStart w:id="298" w:name="_When_a_student"/>
      <w:bookmarkStart w:id="299" w:name="_Toc487179959"/>
      <w:bookmarkEnd w:id="298"/>
      <w:r w:rsidRPr="00EA2BF5">
        <w:t>When a student commences with the second provider</w:t>
      </w:r>
      <w:bookmarkEnd w:id="299"/>
    </w:p>
    <w:p w14:paraId="31700EBF" w14:textId="77777777" w:rsidR="00B004A0" w:rsidRPr="00471F90" w:rsidRDefault="00B004A0" w:rsidP="00B004A0">
      <w:r>
        <w:t xml:space="preserve">Students will only be able to access VET student loans to continue the course, up to the amount of the remainder of the total course cap (that is for a course with a $15,000 maximum loan cap, if the student has already accessed $10,000 for studies with the first provider, they will only have $5,000 remaining </w:t>
      </w:r>
      <w:r w:rsidRPr="00471F90">
        <w:t xml:space="preserve">for that course with the second provider). </w:t>
      </w:r>
    </w:p>
    <w:p w14:paraId="32F2961F" w14:textId="24BA84FE" w:rsidR="00B004A0" w:rsidRDefault="00B004A0" w:rsidP="00B004A0">
      <w:r w:rsidRPr="00471F90">
        <w:t xml:space="preserve">When creating an eCAF for the student, </w:t>
      </w:r>
      <w:r w:rsidR="00064B34" w:rsidRPr="00A81EF7">
        <w:t xml:space="preserve">the ‘Applicable Loan Cap’ field will be pre-populated with the course cap drawn from the </w:t>
      </w:r>
      <w:hyperlink r:id="rId60" w:history="1">
        <w:r w:rsidR="00064B34" w:rsidRPr="00A81EF7">
          <w:rPr>
            <w:rStyle w:val="Hyperlink"/>
          </w:rPr>
          <w:t>VET Student Loans (Courses and Loan Caps) Determination 2016 (Courses and Loan Caps Determination)</w:t>
        </w:r>
      </w:hyperlink>
      <w:r w:rsidR="00064B34" w:rsidRPr="00A81EF7">
        <w:rPr>
          <w:rStyle w:val="Hyperlink"/>
        </w:rPr>
        <w:t xml:space="preserve"> </w:t>
      </w:r>
      <w:r w:rsidR="00064B34" w:rsidRPr="00A81EF7">
        <w:rPr>
          <w:rStyle w:val="Hyperlink"/>
          <w:b w:val="0"/>
        </w:rPr>
        <w:t>list</w:t>
      </w:r>
      <w:r w:rsidRPr="00A81EF7">
        <w:t xml:space="preserve">. </w:t>
      </w:r>
      <w:r w:rsidR="00CB590E" w:rsidRPr="00A81EF7">
        <w:t xml:space="preserve">If the course cap is updated before the student submits their eCAF, the system will automatically reflect the most current </w:t>
      </w:r>
      <w:r w:rsidR="003E1D3C" w:rsidRPr="00A81EF7">
        <w:t xml:space="preserve">maximum </w:t>
      </w:r>
      <w:r w:rsidR="00CB590E" w:rsidRPr="00A81EF7">
        <w:t>loan amount.</w:t>
      </w:r>
      <w:r w:rsidR="00CB590E" w:rsidRPr="00471F90">
        <w:t xml:space="preserve"> </w:t>
      </w:r>
      <w:r w:rsidRPr="00471F90">
        <w:t>As evidence of the VET student loans already lent to the student for the course, providers should request that</w:t>
      </w:r>
      <w:r>
        <w:t xml:space="preserve"> the student provide copies of the ‘Commonwealth Assistance Notices’, which the student would have received from the first provider, throughout the course. </w:t>
      </w:r>
      <w:r w:rsidR="00FF7458">
        <w:t xml:space="preserve"> Students may also view their ‘MyUniAssist’ record to access reported data. Note, time lags in data reporting should be considered.</w:t>
      </w:r>
    </w:p>
    <w:p w14:paraId="1F75E9D9" w14:textId="647439C9" w:rsidR="00983AE6" w:rsidRPr="00D123AE" w:rsidRDefault="00983AE6" w:rsidP="00983AE6">
      <w:pPr>
        <w:pStyle w:val="Heading3"/>
      </w:pPr>
      <w:bookmarkStart w:id="300" w:name="_4.5.5__"/>
      <w:bookmarkStart w:id="301" w:name="_Toc501621201"/>
      <w:bookmarkEnd w:id="300"/>
      <w:r w:rsidRPr="00D123AE">
        <w:t>4.5.5   Gap fees</w:t>
      </w:r>
      <w:bookmarkEnd w:id="293"/>
      <w:bookmarkEnd w:id="301"/>
      <w:r w:rsidRPr="00D123AE">
        <w:t xml:space="preserve"> </w:t>
      </w:r>
    </w:p>
    <w:p w14:paraId="0998E15C" w14:textId="10597A12" w:rsidR="001052E2" w:rsidRPr="00281FDD" w:rsidRDefault="001052E2" w:rsidP="00281FDD">
      <w:r w:rsidRPr="00281FDD">
        <w:t>A tuition fee for a course includes the maximum amount covered by a VET Student Loan (the covered fee) and the remaining tuition cost not covered by the loan</w:t>
      </w:r>
      <w:r w:rsidR="004C4845">
        <w:t xml:space="preserve"> –</w:t>
      </w:r>
      <w:r w:rsidR="00AF6CAE">
        <w:t xml:space="preserve"> </w:t>
      </w:r>
      <w:r w:rsidRPr="00281FDD">
        <w:t xml:space="preserve">the ‘gap fee’. As part of the tuition fee, the gap fee does not include fees for non-tuition services such as items and equipment that become the student’s physical property and are not consumed in the course (that is maps, charts, textbooks). </w:t>
      </w:r>
      <w:r w:rsidR="004222DE">
        <w:t xml:space="preserve">See </w:t>
      </w:r>
      <w:hyperlink w:anchor="_Appendix_G_–" w:history="1">
        <w:r w:rsidR="004222DE" w:rsidRPr="004222DE">
          <w:rPr>
            <w:rStyle w:val="Hyperlink"/>
          </w:rPr>
          <w:t>Appendix F</w:t>
        </w:r>
      </w:hyperlink>
      <w:r w:rsidR="004222DE">
        <w:t xml:space="preserve"> for a list of goods and services for which a charge must not be included in the tuition fee for a course. See </w:t>
      </w:r>
      <w:hyperlink w:anchor="_Appendix_H_-" w:history="1">
        <w:r w:rsidR="004222DE" w:rsidRPr="004222DE">
          <w:rPr>
            <w:rStyle w:val="Hyperlink"/>
          </w:rPr>
          <w:t>Appendix G</w:t>
        </w:r>
      </w:hyperlink>
      <w:r w:rsidR="004222DE">
        <w:t xml:space="preserve"> for a list of goods and services for which a fee must not be charged.</w:t>
      </w:r>
    </w:p>
    <w:p w14:paraId="490A2A63" w14:textId="77777777" w:rsidR="00983AE6" w:rsidRPr="00D801FC" w:rsidRDefault="00983AE6" w:rsidP="00983AE6">
      <w:r w:rsidRPr="00D801FC">
        <w:t>To assist students pay a gap fee or pay all their tuition fees up-front, some providers offer payment plans</w:t>
      </w:r>
      <w:r>
        <w:t>,</w:t>
      </w:r>
      <w:r w:rsidRPr="00D801FC">
        <w:t xml:space="preserve"> which allow payment in instalments or deferred payment.</w:t>
      </w:r>
    </w:p>
    <w:p w14:paraId="2608F900" w14:textId="0D048052" w:rsidR="00983AE6" w:rsidRPr="00D801FC" w:rsidRDefault="00983AE6" w:rsidP="00983AE6">
      <w:r w:rsidRPr="00D801FC">
        <w:t xml:space="preserve">Providers </w:t>
      </w:r>
      <w:r>
        <w:t>that</w:t>
      </w:r>
      <w:r w:rsidRPr="00D801FC">
        <w:t xml:space="preserve"> offer payment plans should consider whether the terms of their payment plans (</w:t>
      </w:r>
      <w:r>
        <w:t xml:space="preserve">for example </w:t>
      </w:r>
      <w:r w:rsidRPr="00D801FC">
        <w:t xml:space="preserve">if loan fees apply or interest is charged as part of the plan) mean that they are engaging in </w:t>
      </w:r>
      <w:r>
        <w:t>‘credit activity’</w:t>
      </w:r>
      <w:r w:rsidRPr="00D801FC">
        <w:t xml:space="preserve"> as defined in the</w:t>
      </w:r>
      <w:r w:rsidRPr="00D801FC">
        <w:rPr>
          <w:i/>
          <w:iCs/>
        </w:rPr>
        <w:t xml:space="preserve"> National Consumer Credit Protection Act 2009 </w:t>
      </w:r>
      <w:r w:rsidRPr="00D801FC">
        <w:rPr>
          <w:iCs/>
        </w:rPr>
        <w:t>(</w:t>
      </w:r>
      <w:r w:rsidRPr="000F3B62">
        <w:rPr>
          <w:iCs/>
        </w:rPr>
        <w:t>NCCP Act</w:t>
      </w:r>
      <w:r w:rsidRPr="00D801FC">
        <w:rPr>
          <w:iCs/>
        </w:rPr>
        <w:t>)</w:t>
      </w:r>
      <w:r w:rsidRPr="00D801FC">
        <w:rPr>
          <w:i/>
          <w:iCs/>
        </w:rPr>
        <w:t xml:space="preserve">. </w:t>
      </w:r>
      <w:r w:rsidRPr="00D801FC">
        <w:t>Credit activity includes activities relating to the provision of credit contracts and</w:t>
      </w:r>
      <w:r w:rsidR="00375A0A">
        <w:t xml:space="preserve"> credit services (see section</w:t>
      </w:r>
      <w:r w:rsidR="00183431">
        <w:t> </w:t>
      </w:r>
      <w:r w:rsidR="00375A0A">
        <w:t>6 </w:t>
      </w:r>
      <w:r w:rsidRPr="00D801FC">
        <w:t>of the NCCP Act).</w:t>
      </w:r>
    </w:p>
    <w:p w14:paraId="41453118" w14:textId="77777777" w:rsidR="00983AE6" w:rsidRPr="00D801FC" w:rsidRDefault="00983AE6" w:rsidP="00983AE6">
      <w:r w:rsidRPr="00D801FC">
        <w:t>This is relevant as a provider engaging in credit activities will generally need either an Australian credit licence or an authorisation from a credit licensee to engage in credit activities as their representative. These requirements must be in place from the day the credit activities commence. Strict penalties may apply to persons who unlawfully engage in credit activities.</w:t>
      </w:r>
    </w:p>
    <w:p w14:paraId="1679331F" w14:textId="77777777" w:rsidR="00983AE6" w:rsidRPr="00D123AE" w:rsidRDefault="00983AE6" w:rsidP="00983AE6">
      <w:pPr>
        <w:rPr>
          <w:rStyle w:val="Strong"/>
        </w:rPr>
      </w:pPr>
      <w:r w:rsidRPr="00D801FC">
        <w:t xml:space="preserve">More information about Australian credit licences is available from the </w:t>
      </w:r>
      <w:hyperlink r:id="rId61" w:history="1">
        <w:r w:rsidRPr="00B907EC">
          <w:rPr>
            <w:rStyle w:val="Strong"/>
            <w:color w:val="0070C0"/>
          </w:rPr>
          <w:t>Australian Securities &amp; Investment Commission</w:t>
        </w:r>
      </w:hyperlink>
      <w:r w:rsidRPr="00D123AE">
        <w:rPr>
          <w:rStyle w:val="Strong"/>
        </w:rPr>
        <w:t>.</w:t>
      </w:r>
    </w:p>
    <w:p w14:paraId="33FC5D4D" w14:textId="77777777" w:rsidR="00983AE6" w:rsidRPr="00EA2BF5" w:rsidRDefault="00983AE6" w:rsidP="008224D7">
      <w:pPr>
        <w:pStyle w:val="Heading5"/>
      </w:pPr>
      <w:bookmarkStart w:id="302" w:name="_Toc481505188"/>
      <w:bookmarkStart w:id="303" w:name="_Toc483209500"/>
      <w:bookmarkStart w:id="304" w:name="_Toc483222829"/>
      <w:r w:rsidRPr="00EA2BF5">
        <w:lastRenderedPageBreak/>
        <w:t>Offering scholarships and bursaries</w:t>
      </w:r>
      <w:bookmarkEnd w:id="302"/>
      <w:bookmarkEnd w:id="303"/>
      <w:bookmarkEnd w:id="304"/>
      <w:r w:rsidRPr="00EA2BF5">
        <w:t xml:space="preserve"> </w:t>
      </w:r>
    </w:p>
    <w:p w14:paraId="73942FBB" w14:textId="77777777" w:rsidR="00983AE6" w:rsidRPr="00496698" w:rsidRDefault="00983AE6" w:rsidP="00983AE6">
      <w:r w:rsidRPr="00496698">
        <w:t>The offering of bursaries, scholarships, or other forms of tuition fee discount</w:t>
      </w:r>
      <w:r>
        <w:t>s</w:t>
      </w:r>
      <w:r w:rsidRPr="00496698">
        <w:t xml:space="preserve"> or subsid</w:t>
      </w:r>
      <w:r>
        <w:t>ies</w:t>
      </w:r>
      <w:r w:rsidRPr="00496698">
        <w:t xml:space="preserve"> to students studying approved courses is not prohibited. However, the offering of any such benefit must not</w:t>
      </w:r>
      <w:r>
        <w:t xml:space="preserve"> be reasonably likely to</w:t>
      </w:r>
      <w:r w:rsidRPr="00496698">
        <w:t xml:space="preserve"> induce a prospective student to apply for a VET student loan for a course</w:t>
      </w:r>
      <w:r>
        <w:t xml:space="preserve"> </w:t>
      </w:r>
      <w:r w:rsidRPr="00D123AE">
        <w:rPr>
          <w:rStyle w:val="ReferenceChar"/>
        </w:rPr>
        <w:t>[Act s</w:t>
      </w:r>
      <w:r w:rsidR="007645D9">
        <w:rPr>
          <w:rStyle w:val="ReferenceChar"/>
        </w:rPr>
        <w:t xml:space="preserve"> </w:t>
      </w:r>
      <w:r w:rsidRPr="00D123AE">
        <w:rPr>
          <w:rStyle w:val="ReferenceChar"/>
        </w:rPr>
        <w:t>61]</w:t>
      </w:r>
      <w:r w:rsidRPr="00785C50">
        <w:t xml:space="preserve">. </w:t>
      </w:r>
      <w:r w:rsidRPr="00496698">
        <w:t xml:space="preserve">Whether this </w:t>
      </w:r>
      <w:r>
        <w:t>is reasonably likely</w:t>
      </w:r>
      <w:r w:rsidRPr="00496698">
        <w:t xml:space="preserve"> in any particular case will depend on a variety of factors including but not limited to:</w:t>
      </w:r>
    </w:p>
    <w:p w14:paraId="16F81432" w14:textId="77777777" w:rsidR="00983AE6" w:rsidRPr="00496698" w:rsidRDefault="00983AE6" w:rsidP="00983AE6">
      <w:pPr>
        <w:pStyle w:val="ListBullet"/>
      </w:pPr>
      <w:r w:rsidRPr="00496698">
        <w:t>how the benefits are marketed</w:t>
      </w:r>
    </w:p>
    <w:p w14:paraId="462B6DFF" w14:textId="77777777" w:rsidR="00983AE6" w:rsidRPr="00496698" w:rsidRDefault="00983AE6" w:rsidP="00983AE6">
      <w:pPr>
        <w:pStyle w:val="ListBullet"/>
      </w:pPr>
      <w:r w:rsidRPr="00496698">
        <w:t>information provided to prospective students </w:t>
      </w:r>
    </w:p>
    <w:p w14:paraId="0B27B372" w14:textId="77777777" w:rsidR="00983AE6" w:rsidRPr="00496698" w:rsidRDefault="00983AE6" w:rsidP="00983AE6">
      <w:pPr>
        <w:pStyle w:val="ListBullet"/>
      </w:pPr>
      <w:r w:rsidRPr="00496698">
        <w:t xml:space="preserve">the eligibility criteria for access to </w:t>
      </w:r>
      <w:r>
        <w:t xml:space="preserve">the </w:t>
      </w:r>
      <w:r w:rsidRPr="00496698">
        <w:t xml:space="preserve">benefit, and </w:t>
      </w:r>
    </w:p>
    <w:p w14:paraId="0D1BCDCC" w14:textId="77777777" w:rsidR="00983AE6" w:rsidRPr="00496698" w:rsidRDefault="00983AE6" w:rsidP="00983AE6">
      <w:pPr>
        <w:pStyle w:val="ListBullet"/>
        <w:rPr>
          <w:sz w:val="20"/>
          <w:szCs w:val="20"/>
        </w:rPr>
      </w:pPr>
      <w:r w:rsidRPr="00496698">
        <w:t>the way</w:t>
      </w:r>
      <w:r w:rsidRPr="00496698">
        <w:rPr>
          <w:sz w:val="20"/>
          <w:szCs w:val="20"/>
        </w:rPr>
        <w:t xml:space="preserve"> </w:t>
      </w:r>
      <w:r w:rsidRPr="00496698">
        <w:t>in which the amount of the benefit is calculated</w:t>
      </w:r>
      <w:r w:rsidRPr="00496698">
        <w:rPr>
          <w:sz w:val="20"/>
          <w:szCs w:val="20"/>
        </w:rPr>
        <w:t xml:space="preserve">.  </w:t>
      </w:r>
    </w:p>
    <w:p w14:paraId="7EB2B31E" w14:textId="77777777" w:rsidR="00983AE6" w:rsidRDefault="00983AE6" w:rsidP="00983AE6">
      <w:r w:rsidRPr="00496698">
        <w:t xml:space="preserve">The department notes the inherent difficulty in dissociating bursaries </w:t>
      </w:r>
      <w:r w:rsidRPr="00496698">
        <w:rPr>
          <w:i/>
        </w:rPr>
        <w:t>et cetera</w:t>
      </w:r>
      <w:r w:rsidRPr="00496698">
        <w:t xml:space="preserve"> from VET Student Loans when the bursaries are expressly or implicitly determined by reference to the gap between a provider’s tuition fees for a course and the maximum VET student loan amount for that course. </w:t>
      </w:r>
    </w:p>
    <w:p w14:paraId="288E85F4" w14:textId="77777777" w:rsidR="00983AE6" w:rsidRDefault="00983AE6" w:rsidP="00983AE6">
      <w:r w:rsidRPr="00B97587">
        <w:rPr>
          <w:rFonts w:cstheme="minorHAnsi"/>
        </w:rPr>
        <w:t>Nevertheless, as for all course provider requirements under the VET Student Loans program, these are matters the department expects individual providers to consider and manage to ensure compliance.</w:t>
      </w:r>
      <w:r>
        <w:rPr>
          <w:rFonts w:cstheme="minorHAnsi"/>
        </w:rPr>
        <w:t xml:space="preserve"> See </w:t>
      </w:r>
      <w:hyperlink w:anchor="_Inappropriate_inducements" w:history="1">
        <w:r w:rsidRPr="00D123AE">
          <w:rPr>
            <w:rStyle w:val="Strong"/>
          </w:rPr>
          <w:t>‘Inappropriate inducements’</w:t>
        </w:r>
      </w:hyperlink>
      <w:r>
        <w:rPr>
          <w:rFonts w:cstheme="minorHAnsi"/>
        </w:rPr>
        <w:t xml:space="preserve"> for more information. </w:t>
      </w:r>
    </w:p>
    <w:p w14:paraId="7EB5A572" w14:textId="77777777" w:rsidR="00983AE6" w:rsidRPr="00C9014F" w:rsidRDefault="00983AE6" w:rsidP="00983AE6">
      <w:pPr>
        <w:pStyle w:val="Heading3"/>
      </w:pPr>
      <w:bookmarkStart w:id="305" w:name="_Toc477960176"/>
      <w:bookmarkStart w:id="306" w:name="_Toc477960616"/>
      <w:bookmarkStart w:id="307" w:name="_Toc477961055"/>
      <w:bookmarkStart w:id="308" w:name="_Toc477961533"/>
      <w:bookmarkStart w:id="309" w:name="_Toc477962015"/>
      <w:bookmarkStart w:id="310" w:name="_Toc477962502"/>
      <w:bookmarkStart w:id="311" w:name="_Toc477962988"/>
      <w:bookmarkStart w:id="312" w:name="_Toc477963475"/>
      <w:bookmarkStart w:id="313" w:name="_Toc478042667"/>
      <w:bookmarkStart w:id="314" w:name="_Toc478366915"/>
      <w:bookmarkStart w:id="315" w:name="_Toc479083528"/>
      <w:bookmarkStart w:id="316" w:name="_Toc477960177"/>
      <w:bookmarkStart w:id="317" w:name="_Toc477960617"/>
      <w:bookmarkStart w:id="318" w:name="_Toc477961056"/>
      <w:bookmarkStart w:id="319" w:name="_Toc477961534"/>
      <w:bookmarkStart w:id="320" w:name="_Toc477962016"/>
      <w:bookmarkStart w:id="321" w:name="_Toc477962503"/>
      <w:bookmarkStart w:id="322" w:name="_Toc477962989"/>
      <w:bookmarkStart w:id="323" w:name="_Toc477963476"/>
      <w:bookmarkStart w:id="324" w:name="_Toc478042668"/>
      <w:bookmarkStart w:id="325" w:name="_Toc478366916"/>
      <w:bookmarkStart w:id="326" w:name="_Toc479083529"/>
      <w:bookmarkStart w:id="327" w:name="_Toc477960178"/>
      <w:bookmarkStart w:id="328" w:name="_Toc477960618"/>
      <w:bookmarkStart w:id="329" w:name="_Toc477961057"/>
      <w:bookmarkStart w:id="330" w:name="_Toc477961535"/>
      <w:bookmarkStart w:id="331" w:name="_Toc477962017"/>
      <w:bookmarkStart w:id="332" w:name="_Toc477962504"/>
      <w:bookmarkStart w:id="333" w:name="_Toc477962990"/>
      <w:bookmarkStart w:id="334" w:name="_Toc477963477"/>
      <w:bookmarkStart w:id="335" w:name="_Toc478042669"/>
      <w:bookmarkStart w:id="336" w:name="_Toc478366917"/>
      <w:bookmarkStart w:id="337" w:name="_Toc479083530"/>
      <w:bookmarkStart w:id="338" w:name="_Toc477960179"/>
      <w:bookmarkStart w:id="339" w:name="_Toc477960619"/>
      <w:bookmarkStart w:id="340" w:name="_Toc477961058"/>
      <w:bookmarkStart w:id="341" w:name="_Toc477961536"/>
      <w:bookmarkStart w:id="342" w:name="_Toc477962018"/>
      <w:bookmarkStart w:id="343" w:name="_Toc477962505"/>
      <w:bookmarkStart w:id="344" w:name="_Toc477962991"/>
      <w:bookmarkStart w:id="345" w:name="_Toc477963478"/>
      <w:bookmarkStart w:id="346" w:name="_Toc478042670"/>
      <w:bookmarkStart w:id="347" w:name="_Toc478366918"/>
      <w:bookmarkStart w:id="348" w:name="_Toc479083531"/>
      <w:bookmarkStart w:id="349" w:name="_Toc477960180"/>
      <w:bookmarkStart w:id="350" w:name="_Toc477960620"/>
      <w:bookmarkStart w:id="351" w:name="_Toc477961059"/>
      <w:bookmarkStart w:id="352" w:name="_Toc477961537"/>
      <w:bookmarkStart w:id="353" w:name="_Toc477962019"/>
      <w:bookmarkStart w:id="354" w:name="_Toc477962506"/>
      <w:bookmarkStart w:id="355" w:name="_Toc477962992"/>
      <w:bookmarkStart w:id="356" w:name="_Toc477963479"/>
      <w:bookmarkStart w:id="357" w:name="_Toc478042671"/>
      <w:bookmarkStart w:id="358" w:name="_Toc478366919"/>
      <w:bookmarkStart w:id="359" w:name="_Toc479083532"/>
      <w:bookmarkStart w:id="360" w:name="_4.5.6__"/>
      <w:bookmarkStart w:id="361" w:name="_Toc483222830"/>
      <w:bookmarkStart w:id="362" w:name="_Toc50162120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C9014F">
        <w:t>4.5.6   Managing student access with changes to the determination</w:t>
      </w:r>
      <w:bookmarkEnd w:id="361"/>
      <w:bookmarkEnd w:id="362"/>
    </w:p>
    <w:p w14:paraId="19991561" w14:textId="77777777" w:rsidR="00983AE6" w:rsidRPr="00C9014F" w:rsidRDefault="00983AE6" w:rsidP="00983AE6">
      <w:r w:rsidRPr="00C9014F">
        <w:t xml:space="preserve">The loan cap for an approved course set out in the Courses and Loan Caps Determination is indexed on 1 January 2018 and each subsequent 1 January. </w:t>
      </w:r>
    </w:p>
    <w:p w14:paraId="20D5F398" w14:textId="77777777" w:rsidR="00983AE6" w:rsidRPr="00C9014F" w:rsidRDefault="00983AE6" w:rsidP="00983AE6">
      <w:r w:rsidRPr="00C9014F">
        <w:t>In addition, the Minister may amend the Determination over time to add or remove courses or change the loan cap for certain courses.</w:t>
      </w:r>
    </w:p>
    <w:p w14:paraId="4AEEE164" w14:textId="121FEDC1" w:rsidR="00983AE6" w:rsidRPr="00C9014F" w:rsidRDefault="00983AE6" w:rsidP="00983AE6">
      <w:r w:rsidRPr="00C9014F">
        <w:t>The loan cap applicable for a student for a course is the amount specified in the Determination as at the date of the student’s enrolment and loan application. Any changes to the loan cap after the date of a student’s enrolment and loan application</w:t>
      </w:r>
      <w:r w:rsidR="00AF6CAE">
        <w:t xml:space="preserve"> that reduce the loan cap</w:t>
      </w:r>
      <w:r w:rsidRPr="00C9014F">
        <w:t>, do not affect the student’s loan cap for the course.</w:t>
      </w:r>
    </w:p>
    <w:p w14:paraId="5242C29E" w14:textId="77777777" w:rsidR="00EA2BF5" w:rsidRPr="00EA2BF5" w:rsidRDefault="00EA2BF5" w:rsidP="00EA2BF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EA2BF5">
        <w:rPr>
          <w:b/>
        </w:rPr>
        <w:t>Example</w:t>
      </w:r>
    </w:p>
    <w:p w14:paraId="280279DA" w14:textId="7A7895A3" w:rsidR="009B0386" w:rsidRDefault="00983AE6" w:rsidP="00A81EF7">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C9014F">
        <w:t>A student commences an approved course and has a loan approved in 2017 with a loan cap of $15,000 and continues their enrolment in that course in 2018. In 2018, the Determination is amended to reflect a revised cap amount of $10,000. The student remains entitled to the $15,000 cap but any student enrolling in the course</w:t>
      </w:r>
      <w:r w:rsidR="007D171B">
        <w:t>/requesting a loan</w:t>
      </w:r>
      <w:r w:rsidRPr="00C9014F">
        <w:t xml:space="preserve"> after the loan cap is changed to $10,000 is only eligible for a $10,000 VET student loan for the course.</w:t>
      </w:r>
      <w:r w:rsidRPr="009543E2">
        <w:t xml:space="preserve"> </w:t>
      </w:r>
      <w:bookmarkStart w:id="363" w:name="_4.5.7__"/>
      <w:bookmarkStart w:id="364" w:name="_Toc481649819"/>
      <w:bookmarkStart w:id="365" w:name="_Toc481650295"/>
      <w:bookmarkStart w:id="366" w:name="_Toc473021532"/>
      <w:bookmarkStart w:id="367" w:name="_Toc473021632"/>
      <w:bookmarkStart w:id="368" w:name="_Toc473532496"/>
      <w:bookmarkStart w:id="369" w:name="_Toc473707787"/>
      <w:bookmarkStart w:id="370" w:name="_Toc473708493"/>
      <w:bookmarkStart w:id="371" w:name="_Toc473708572"/>
      <w:bookmarkStart w:id="372" w:name="_Toc473719345"/>
      <w:bookmarkStart w:id="373" w:name="_Toc474396035"/>
      <w:bookmarkStart w:id="374" w:name="_Toc474398239"/>
      <w:bookmarkStart w:id="375" w:name="_Toc474413847"/>
      <w:bookmarkStart w:id="376" w:name="_Toc474485330"/>
      <w:bookmarkStart w:id="377" w:name="_Toc474924627"/>
      <w:bookmarkStart w:id="378" w:name="_Toc475444237"/>
      <w:bookmarkStart w:id="379" w:name="_Toc475444328"/>
      <w:bookmarkStart w:id="380" w:name="_Toc477425513"/>
      <w:bookmarkStart w:id="381" w:name="_Toc477425845"/>
      <w:bookmarkStart w:id="382" w:name="_Toc477505883"/>
      <w:bookmarkStart w:id="383" w:name="_Toc477960024"/>
      <w:bookmarkStart w:id="384" w:name="_Toc477960182"/>
      <w:bookmarkStart w:id="385" w:name="_Toc477960622"/>
      <w:bookmarkStart w:id="386" w:name="_Toc477961061"/>
      <w:bookmarkStart w:id="387" w:name="_Toc477961539"/>
      <w:bookmarkStart w:id="388" w:name="_Toc477962021"/>
      <w:bookmarkStart w:id="389" w:name="_Toc477962508"/>
      <w:bookmarkStart w:id="390" w:name="_Toc477962994"/>
      <w:bookmarkStart w:id="391" w:name="_Toc477963481"/>
      <w:bookmarkStart w:id="392" w:name="_Toc478042673"/>
      <w:bookmarkStart w:id="393" w:name="_Toc478366921"/>
      <w:bookmarkStart w:id="394" w:name="_Toc479083534"/>
      <w:bookmarkStart w:id="395" w:name="_Provision_and_delivery"/>
      <w:bookmarkStart w:id="396" w:name="_Toc471374365"/>
      <w:bookmarkStart w:id="397" w:name="_Toc477960025"/>
      <w:bookmarkStart w:id="398" w:name="_Toc48322283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3D98255" w14:textId="29737253" w:rsidR="00AF6CAE" w:rsidRDefault="007B2CF2" w:rsidP="00AF6CAE">
      <w:r>
        <w:t xml:space="preserve">Loan cap amounts will be indexed as provided for by the </w:t>
      </w:r>
      <w:r>
        <w:rPr>
          <w:i/>
          <w:iCs/>
        </w:rPr>
        <w:t>VET Student Loans Act 2016</w:t>
      </w:r>
      <w:r>
        <w:t xml:space="preserve"> and according to the provisions set out in the VET Student Loans (Courses and Loan Caps) Determination 2016. </w:t>
      </w:r>
      <w:r w:rsidRPr="00274AEA">
        <w:rPr>
          <w:rFonts w:cstheme="minorHAnsi"/>
        </w:rPr>
        <w:t>V</w:t>
      </w:r>
      <w:r>
        <w:rPr>
          <w:rFonts w:cstheme="minorHAnsi"/>
        </w:rPr>
        <w:t xml:space="preserve">ET </w:t>
      </w:r>
      <w:r w:rsidRPr="00274AEA">
        <w:rPr>
          <w:rFonts w:cstheme="minorHAnsi"/>
        </w:rPr>
        <w:t>S</w:t>
      </w:r>
      <w:r>
        <w:rPr>
          <w:rFonts w:cstheme="minorHAnsi"/>
        </w:rPr>
        <w:t>tudent Loans course and loan</w:t>
      </w:r>
      <w:r w:rsidRPr="00274AEA">
        <w:rPr>
          <w:rFonts w:cstheme="minorHAnsi"/>
        </w:rPr>
        <w:t xml:space="preserve"> </w:t>
      </w:r>
      <w:r>
        <w:rPr>
          <w:rFonts w:cstheme="minorHAnsi"/>
        </w:rPr>
        <w:t xml:space="preserve">caps will be indexed by using </w:t>
      </w:r>
      <w:r w:rsidRPr="00011958">
        <w:rPr>
          <w:rFonts w:cstheme="minorHAnsi"/>
        </w:rPr>
        <w:t xml:space="preserve">the same </w:t>
      </w:r>
      <w:r w:rsidRPr="00011958">
        <w:rPr>
          <w:rFonts w:cstheme="minorHAnsi"/>
          <w:color w:val="333333"/>
          <w:sz w:val="21"/>
          <w:szCs w:val="21"/>
          <w:lang w:val="en"/>
        </w:rPr>
        <w:t xml:space="preserve">the </w:t>
      </w:r>
      <w:hyperlink r:id="rId62" w:history="1">
        <w:r w:rsidRPr="00011958">
          <w:rPr>
            <w:rStyle w:val="Hyperlink"/>
            <w:rFonts w:cstheme="minorHAnsi"/>
            <w:sz w:val="21"/>
            <w:szCs w:val="21"/>
            <w:lang w:val="en"/>
          </w:rPr>
          <w:t xml:space="preserve">indexation factor </w:t>
        </w:r>
      </w:hyperlink>
      <w:r w:rsidRPr="00011958">
        <w:rPr>
          <w:rFonts w:cstheme="minorHAnsi"/>
        </w:rPr>
        <w:t>as applies</w:t>
      </w:r>
      <w:r>
        <w:rPr>
          <w:rFonts w:cstheme="minorHAnsi"/>
        </w:rPr>
        <w:t xml:space="preserve"> to the lifetime FEE-HELP limit under the HESA. For students this will mean that upon obtaining a VET Student Loan </w:t>
      </w:r>
      <w:r w:rsidRPr="00BF0356">
        <w:rPr>
          <w:rFonts w:cstheme="minorHAnsi"/>
        </w:rPr>
        <w:t>indexation will be applied automatically to both new and continuing students in respect of units with census dates after 1 January 2018.</w:t>
      </w:r>
      <w:r>
        <w:rPr>
          <w:rFonts w:cstheme="minorHAnsi"/>
        </w:rPr>
        <w:t xml:space="preserve"> Refer </w:t>
      </w:r>
      <w:hyperlink w:anchor="_Loan_caps_and" w:history="1">
        <w:r w:rsidRPr="007B2CF2">
          <w:rPr>
            <w:rStyle w:val="Hyperlink"/>
            <w:rFonts w:cstheme="minorHAnsi"/>
          </w:rPr>
          <w:t>section 4.5.4</w:t>
        </w:r>
      </w:hyperlink>
      <w:r>
        <w:rPr>
          <w:rFonts w:cstheme="minorHAnsi"/>
        </w:rPr>
        <w:t xml:space="preserve"> above.</w:t>
      </w:r>
    </w:p>
    <w:p w14:paraId="020975B1" w14:textId="4FC2EBB6" w:rsidR="00983AE6" w:rsidRPr="00D123AE" w:rsidRDefault="0065039C" w:rsidP="00983AE6">
      <w:pPr>
        <w:pStyle w:val="Heading2"/>
      </w:pPr>
      <w:bookmarkStart w:id="399" w:name="_Toc501621203"/>
      <w:r>
        <w:t>4.6 Provision</w:t>
      </w:r>
      <w:r w:rsidR="00983AE6" w:rsidRPr="00736F23">
        <w:t xml:space="preserve"> and delivery</w:t>
      </w:r>
      <w:bookmarkEnd w:id="396"/>
      <w:bookmarkEnd w:id="397"/>
      <w:bookmarkEnd w:id="398"/>
      <w:bookmarkEnd w:id="399"/>
    </w:p>
    <w:p w14:paraId="3FF4C471" w14:textId="77777777" w:rsidR="00983AE6" w:rsidRPr="00736F23" w:rsidRDefault="00983AE6" w:rsidP="003A3715">
      <w:pPr>
        <w:pStyle w:val="BodyIndent1"/>
        <w:spacing w:before="0"/>
        <w:ind w:left="0"/>
        <w:rPr>
          <w:rFonts w:asciiTheme="minorHAnsi" w:hAnsiTheme="minorHAnsi" w:cstheme="minorHAnsi"/>
        </w:rPr>
      </w:pPr>
      <w:r w:rsidRPr="00736F23">
        <w:rPr>
          <w:rFonts w:asciiTheme="minorHAnsi" w:hAnsiTheme="minorHAnsi" w:cstheme="minorHAnsi"/>
        </w:rPr>
        <w:t>To ensure the quality of training, only approved</w:t>
      </w:r>
      <w:r>
        <w:rPr>
          <w:rFonts w:asciiTheme="minorHAnsi" w:hAnsiTheme="minorHAnsi" w:cstheme="minorHAnsi"/>
        </w:rPr>
        <w:t xml:space="preserve"> course</w:t>
      </w:r>
      <w:r w:rsidRPr="00736F23">
        <w:rPr>
          <w:rFonts w:asciiTheme="minorHAnsi" w:hAnsiTheme="minorHAnsi" w:cstheme="minorHAnsi"/>
        </w:rPr>
        <w:t xml:space="preserve"> providers can provide and deliver approved courses. </w:t>
      </w:r>
    </w:p>
    <w:p w14:paraId="2C210549" w14:textId="77777777" w:rsidR="00983AE6" w:rsidRDefault="00983AE6" w:rsidP="003A3715">
      <w:pPr>
        <w:pStyle w:val="BodyIndent1"/>
        <w:spacing w:before="0"/>
        <w:ind w:left="0"/>
        <w:rPr>
          <w:rFonts w:asciiTheme="minorHAnsi" w:hAnsiTheme="minorHAnsi" w:cstheme="minorHAnsi"/>
          <w:sz w:val="12"/>
          <w:szCs w:val="12"/>
        </w:rPr>
      </w:pPr>
      <w:r w:rsidRPr="00736F23">
        <w:rPr>
          <w:rFonts w:asciiTheme="minorHAnsi" w:hAnsiTheme="minorHAnsi" w:cstheme="minorHAnsi"/>
        </w:rPr>
        <w:t>A provider may outsource the delivery of a course or part of a course to another body provided</w:t>
      </w:r>
      <w:r>
        <w:rPr>
          <w:rFonts w:asciiTheme="minorHAnsi" w:hAnsiTheme="minorHAnsi" w:cstheme="minorHAnsi"/>
        </w:rPr>
        <w:t xml:space="preserve"> that</w:t>
      </w:r>
      <w:r w:rsidRPr="00736F23">
        <w:rPr>
          <w:rFonts w:asciiTheme="minorHAnsi" w:hAnsiTheme="minorHAnsi" w:cstheme="minorHAnsi"/>
        </w:rPr>
        <w:t xml:space="preserve"> the body is another approved </w:t>
      </w:r>
      <w:r>
        <w:rPr>
          <w:rFonts w:asciiTheme="minorHAnsi" w:hAnsiTheme="minorHAnsi" w:cstheme="minorHAnsi"/>
        </w:rPr>
        <w:t xml:space="preserve">course </w:t>
      </w:r>
      <w:r w:rsidRPr="00736F23">
        <w:rPr>
          <w:rFonts w:asciiTheme="minorHAnsi" w:hAnsiTheme="minorHAnsi" w:cstheme="minorHAnsi"/>
        </w:rPr>
        <w:t xml:space="preserve">provider or a body </w:t>
      </w:r>
      <w:r>
        <w:rPr>
          <w:rFonts w:asciiTheme="minorHAnsi" w:hAnsiTheme="minorHAnsi" w:cstheme="minorHAnsi"/>
        </w:rPr>
        <w:t>registered</w:t>
      </w:r>
      <w:r w:rsidRPr="00736F23">
        <w:rPr>
          <w:rFonts w:asciiTheme="minorHAnsi" w:hAnsiTheme="minorHAnsi" w:cstheme="minorHAnsi"/>
        </w:rPr>
        <w:t xml:space="preserve"> by TEQSA</w:t>
      </w:r>
      <w:r>
        <w:rPr>
          <w:rFonts w:asciiTheme="minorHAnsi" w:hAnsiTheme="minorHAnsi" w:cstheme="minorHAnsi"/>
        </w:rPr>
        <w:t>,</w:t>
      </w:r>
      <w:r w:rsidRPr="00736F23">
        <w:rPr>
          <w:rFonts w:asciiTheme="minorHAnsi" w:hAnsiTheme="minorHAnsi" w:cstheme="minorHAnsi"/>
        </w:rPr>
        <w:t xml:space="preserve"> </w:t>
      </w:r>
      <w:r>
        <w:rPr>
          <w:rFonts w:asciiTheme="minorHAnsi" w:hAnsiTheme="minorHAnsi" w:cstheme="minorHAnsi"/>
        </w:rPr>
        <w:t xml:space="preserve">or a body approved in writing by the Secretary to deliver the course </w:t>
      </w:r>
      <w:r w:rsidRPr="00D123AE">
        <w:rPr>
          <w:rStyle w:val="ReferenceChar"/>
        </w:rPr>
        <w:t>[Act s 15(1)]</w:t>
      </w:r>
      <w:r w:rsidRPr="00785C50">
        <w:t>.</w:t>
      </w:r>
    </w:p>
    <w:p w14:paraId="09D49106" w14:textId="77777777" w:rsidR="00983AE6" w:rsidRPr="00D123AE" w:rsidRDefault="00983AE6" w:rsidP="00983AE6">
      <w:pPr>
        <w:pStyle w:val="Heading3"/>
      </w:pPr>
      <w:bookmarkStart w:id="400" w:name="_Toc483222833"/>
      <w:bookmarkStart w:id="401" w:name="_Toc501621204"/>
      <w:r w:rsidRPr="00D123AE">
        <w:lastRenderedPageBreak/>
        <w:t>4.6.1   What is a third party arrangement (TPA)?</w:t>
      </w:r>
      <w:bookmarkEnd w:id="400"/>
      <w:bookmarkEnd w:id="401"/>
    </w:p>
    <w:p w14:paraId="3ACC3BF1" w14:textId="77777777" w:rsidR="00983AE6" w:rsidRPr="00FE4F42" w:rsidRDefault="00983AE6" w:rsidP="00983AE6">
      <w:r w:rsidRPr="00FE4F42">
        <w:t xml:space="preserve">The </w:t>
      </w:r>
      <w:hyperlink r:id="rId63" w:history="1">
        <w:r w:rsidRPr="00FE4F42">
          <w:t>Standards for Registered Training Organisations 2015</w:t>
        </w:r>
      </w:hyperlink>
      <w:r w:rsidRPr="00FE4F42">
        <w:t xml:space="preserve"> define a ‘third party’ as any party that provides services on behalf of a registered training organisation (RTO), excluding a contract of employment between an RTO and its employee. Services include training, assessment, related education and support services and/or any </w:t>
      </w:r>
      <w:r w:rsidRPr="00DB52E4">
        <w:t xml:space="preserve">activities related to the recruitment of potential </w:t>
      </w:r>
      <w:r>
        <w:t>students</w:t>
      </w:r>
      <w:r w:rsidRPr="00FE4F42">
        <w:t xml:space="preserve">. It does not include services such as student counselling, medication or information and communications technology support. </w:t>
      </w:r>
    </w:p>
    <w:p w14:paraId="48245F32" w14:textId="77777777" w:rsidR="00983AE6" w:rsidRPr="00FE4F42" w:rsidRDefault="00983AE6" w:rsidP="00983AE6">
      <w:r w:rsidRPr="00FE4F42">
        <w:t xml:space="preserve">Although a </w:t>
      </w:r>
      <w:r>
        <w:t>TPA</w:t>
      </w:r>
      <w:r w:rsidRPr="00FE4F42">
        <w:t xml:space="preserve"> under the VET Student Loans program is not </w:t>
      </w:r>
      <w:r>
        <w:t xml:space="preserve">expressly </w:t>
      </w:r>
      <w:r w:rsidRPr="00FE4F42">
        <w:t xml:space="preserve">defined, it is proposed for operational purposes to adopt </w:t>
      </w:r>
      <w:r>
        <w:t xml:space="preserve">a similar </w:t>
      </w:r>
      <w:r w:rsidRPr="00FE4F42">
        <w:t>definition/approach as the RTO Standards.</w:t>
      </w:r>
    </w:p>
    <w:p w14:paraId="3664E86B" w14:textId="77777777" w:rsidR="00983AE6" w:rsidRPr="00FE4F42" w:rsidRDefault="00983AE6" w:rsidP="00983AE6">
      <w:r w:rsidRPr="00FE4F42">
        <w:t>The relationship is one of principal and agent</w:t>
      </w:r>
      <w:r>
        <w:t>.</w:t>
      </w:r>
      <w:r w:rsidRPr="00FE4F42">
        <w:t xml:space="preserve"> The approved course provider is the principal and must carry full responsibility for all aspects of delivery, including adherence to the Act and the Rules, quality and standards, teaching by qualified staff, adequate resources and facilities, and adequate measures to protect the welfare of students. </w:t>
      </w:r>
    </w:p>
    <w:p w14:paraId="58350FE2" w14:textId="77777777" w:rsidR="00983AE6" w:rsidRPr="00736F23" w:rsidRDefault="00983AE6" w:rsidP="00983AE6">
      <w:r w:rsidRPr="002023F5">
        <w:t>Students undertaking courses, which</w:t>
      </w:r>
      <w:r>
        <w:t xml:space="preserve"> are delivered by third parties (that satisfy the requirements at s</w:t>
      </w:r>
      <w:r w:rsidR="00B43AD0">
        <w:t> </w:t>
      </w:r>
      <w:r>
        <w:t xml:space="preserve">15 of the Act), </w:t>
      </w:r>
      <w:r w:rsidRPr="002023F5">
        <w:t xml:space="preserve">must be enrolled with the </w:t>
      </w:r>
      <w:r>
        <w:t>approved course</w:t>
      </w:r>
      <w:r w:rsidRPr="002023F5">
        <w:t xml:space="preserve"> provider.</w:t>
      </w:r>
    </w:p>
    <w:p w14:paraId="06AF4817" w14:textId="77777777" w:rsidR="00983AE6" w:rsidRPr="00736F23" w:rsidRDefault="00983AE6" w:rsidP="00983AE6">
      <w:r w:rsidRPr="00FE4F42">
        <w:t xml:space="preserve">The approved course provider must establish suitable data collection and reporting arrangements with the third party delivering training on their behalf. The department may, at any time, issue data requests to the approved course provider seeking information on </w:t>
      </w:r>
      <w:r>
        <w:t>the third party or partner.</w:t>
      </w:r>
    </w:p>
    <w:p w14:paraId="0D6D5EEB" w14:textId="095F878B" w:rsidR="00983AE6" w:rsidRDefault="00983AE6" w:rsidP="00983AE6">
      <w:r w:rsidRPr="003B4E65">
        <w:t xml:space="preserve">It is the </w:t>
      </w:r>
      <w:r>
        <w:t>approved course</w:t>
      </w:r>
      <w:r w:rsidRPr="003B4E65">
        <w:t xml:space="preserve"> provider’s responsibility to ensure the</w:t>
      </w:r>
      <w:r>
        <w:t xml:space="preserve"> third party or </w:t>
      </w:r>
      <w:r w:rsidRPr="003B4E65">
        <w:t>partner’s website does not contain incorrect or misleading VET Student Loans information</w:t>
      </w:r>
      <w:r w:rsidR="00243258">
        <w:t xml:space="preserve"> and otherwise complies with the VET Student Loans marketing requirements (noting third parties may </w:t>
      </w:r>
      <w:r w:rsidR="00243258" w:rsidRPr="00243258">
        <w:rPr>
          <w:u w:val="single"/>
        </w:rPr>
        <w:t>not</w:t>
      </w:r>
      <w:r w:rsidR="00243258">
        <w:t xml:space="preserve"> use the VET Student Loans logo – refer </w:t>
      </w:r>
      <w:hyperlink w:anchor="_4.10_Marketing" w:history="1">
        <w:r w:rsidR="00243258" w:rsidRPr="00243258">
          <w:rPr>
            <w:rStyle w:val="Hyperlink"/>
          </w:rPr>
          <w:t>section 4.10</w:t>
        </w:r>
      </w:hyperlink>
      <w:r w:rsidR="00243258">
        <w:t xml:space="preserve"> and the </w:t>
      </w:r>
      <w:r w:rsidR="00243258" w:rsidRPr="00243258">
        <w:rPr>
          <w:i/>
        </w:rPr>
        <w:t>VET Student Loans Style Guide</w:t>
      </w:r>
      <w:r w:rsidR="00243258">
        <w:t>)</w:t>
      </w:r>
      <w:r w:rsidRPr="003B4E65">
        <w:t>.</w:t>
      </w:r>
    </w:p>
    <w:p w14:paraId="37DF1891" w14:textId="77777777" w:rsidR="00983AE6" w:rsidRPr="00D123AE" w:rsidRDefault="00983AE6" w:rsidP="00983AE6">
      <w:pPr>
        <w:pStyle w:val="Heading3"/>
      </w:pPr>
      <w:bookmarkStart w:id="402" w:name="_Toc477960186"/>
      <w:bookmarkStart w:id="403" w:name="_Toc477960626"/>
      <w:bookmarkStart w:id="404" w:name="_Toc477961065"/>
      <w:bookmarkStart w:id="405" w:name="_Toc477961543"/>
      <w:bookmarkStart w:id="406" w:name="_Toc477962025"/>
      <w:bookmarkStart w:id="407" w:name="_Toc477962512"/>
      <w:bookmarkStart w:id="408" w:name="_Toc477962998"/>
      <w:bookmarkStart w:id="409" w:name="_Toc477963485"/>
      <w:bookmarkStart w:id="410" w:name="_Toc478042677"/>
      <w:bookmarkStart w:id="411" w:name="_Toc478366925"/>
      <w:bookmarkStart w:id="412" w:name="_Toc479083538"/>
      <w:bookmarkStart w:id="413" w:name="_Toc477960187"/>
      <w:bookmarkStart w:id="414" w:name="_Toc477960627"/>
      <w:bookmarkStart w:id="415" w:name="_Toc477961066"/>
      <w:bookmarkStart w:id="416" w:name="_Toc477961544"/>
      <w:bookmarkStart w:id="417" w:name="_Toc477962026"/>
      <w:bookmarkStart w:id="418" w:name="_Toc477962513"/>
      <w:bookmarkStart w:id="419" w:name="_Toc477962999"/>
      <w:bookmarkStart w:id="420" w:name="_Toc477963486"/>
      <w:bookmarkStart w:id="421" w:name="_Toc478042678"/>
      <w:bookmarkStart w:id="422" w:name="_Toc478366926"/>
      <w:bookmarkStart w:id="423" w:name="_Toc479083539"/>
      <w:bookmarkStart w:id="424" w:name="_Toc477960188"/>
      <w:bookmarkStart w:id="425" w:name="_Toc477960628"/>
      <w:bookmarkStart w:id="426" w:name="_Toc477961067"/>
      <w:bookmarkStart w:id="427" w:name="_Toc477961545"/>
      <w:bookmarkStart w:id="428" w:name="_Toc477962027"/>
      <w:bookmarkStart w:id="429" w:name="_Toc477962514"/>
      <w:bookmarkStart w:id="430" w:name="_Toc477963000"/>
      <w:bookmarkStart w:id="431" w:name="_Toc477963487"/>
      <w:bookmarkStart w:id="432" w:name="_Toc478042679"/>
      <w:bookmarkStart w:id="433" w:name="_Toc478366927"/>
      <w:bookmarkStart w:id="434" w:name="_Toc479083540"/>
      <w:bookmarkStart w:id="435" w:name="_Toc477960189"/>
      <w:bookmarkStart w:id="436" w:name="_Toc477960629"/>
      <w:bookmarkStart w:id="437" w:name="_Toc477961068"/>
      <w:bookmarkStart w:id="438" w:name="_Toc477961546"/>
      <w:bookmarkStart w:id="439" w:name="_Toc477962028"/>
      <w:bookmarkStart w:id="440" w:name="_Toc477962515"/>
      <w:bookmarkStart w:id="441" w:name="_Toc477963001"/>
      <w:bookmarkStart w:id="442" w:name="_Toc477963488"/>
      <w:bookmarkStart w:id="443" w:name="_Toc478042680"/>
      <w:bookmarkStart w:id="444" w:name="_Toc478366928"/>
      <w:bookmarkStart w:id="445" w:name="_Toc479083541"/>
      <w:bookmarkStart w:id="446" w:name="_Toc477960190"/>
      <w:bookmarkStart w:id="447" w:name="_Toc477960630"/>
      <w:bookmarkStart w:id="448" w:name="_Toc477961069"/>
      <w:bookmarkStart w:id="449" w:name="_Toc477961547"/>
      <w:bookmarkStart w:id="450" w:name="_Toc477962029"/>
      <w:bookmarkStart w:id="451" w:name="_Toc477962516"/>
      <w:bookmarkStart w:id="452" w:name="_Toc477963002"/>
      <w:bookmarkStart w:id="453" w:name="_Toc477963489"/>
      <w:bookmarkStart w:id="454" w:name="_Toc478042681"/>
      <w:bookmarkStart w:id="455" w:name="_Toc478366929"/>
      <w:bookmarkStart w:id="456" w:name="_Toc479083542"/>
      <w:bookmarkStart w:id="457" w:name="_Toc477960191"/>
      <w:bookmarkStart w:id="458" w:name="_Toc477960631"/>
      <w:bookmarkStart w:id="459" w:name="_Toc477961070"/>
      <w:bookmarkStart w:id="460" w:name="_Toc477961548"/>
      <w:bookmarkStart w:id="461" w:name="_Toc477962030"/>
      <w:bookmarkStart w:id="462" w:name="_Toc477962517"/>
      <w:bookmarkStart w:id="463" w:name="_Toc477963003"/>
      <w:bookmarkStart w:id="464" w:name="_Toc477963490"/>
      <w:bookmarkStart w:id="465" w:name="_Toc478042682"/>
      <w:bookmarkStart w:id="466" w:name="_Toc478366930"/>
      <w:bookmarkStart w:id="467" w:name="_Toc479083543"/>
      <w:bookmarkStart w:id="468" w:name="_Toc477960192"/>
      <w:bookmarkStart w:id="469" w:name="_Toc477960632"/>
      <w:bookmarkStart w:id="470" w:name="_Toc477961071"/>
      <w:bookmarkStart w:id="471" w:name="_Toc477961549"/>
      <w:bookmarkStart w:id="472" w:name="_Toc477962031"/>
      <w:bookmarkStart w:id="473" w:name="_Toc477962518"/>
      <w:bookmarkStart w:id="474" w:name="_Toc477963004"/>
      <w:bookmarkStart w:id="475" w:name="_Toc477963491"/>
      <w:bookmarkStart w:id="476" w:name="_Toc478042683"/>
      <w:bookmarkStart w:id="477" w:name="_Toc478366931"/>
      <w:bookmarkStart w:id="478" w:name="_Toc479083544"/>
      <w:bookmarkStart w:id="479" w:name="_Toc477960193"/>
      <w:bookmarkStart w:id="480" w:name="_Toc477960633"/>
      <w:bookmarkStart w:id="481" w:name="_Toc477961072"/>
      <w:bookmarkStart w:id="482" w:name="_Toc477961550"/>
      <w:bookmarkStart w:id="483" w:name="_Toc477962032"/>
      <w:bookmarkStart w:id="484" w:name="_Toc477962519"/>
      <w:bookmarkStart w:id="485" w:name="_Toc477963005"/>
      <w:bookmarkStart w:id="486" w:name="_Toc477963492"/>
      <w:bookmarkStart w:id="487" w:name="_Toc478042684"/>
      <w:bookmarkStart w:id="488" w:name="_Toc478366932"/>
      <w:bookmarkStart w:id="489" w:name="_Toc479083545"/>
      <w:bookmarkStart w:id="490" w:name="_Toc477960194"/>
      <w:bookmarkStart w:id="491" w:name="_Toc477960634"/>
      <w:bookmarkStart w:id="492" w:name="_Toc477961073"/>
      <w:bookmarkStart w:id="493" w:name="_Toc477961551"/>
      <w:bookmarkStart w:id="494" w:name="_Toc477962033"/>
      <w:bookmarkStart w:id="495" w:name="_Toc477962520"/>
      <w:bookmarkStart w:id="496" w:name="_Toc477963006"/>
      <w:bookmarkStart w:id="497" w:name="_Toc477963493"/>
      <w:bookmarkStart w:id="498" w:name="_Toc478042685"/>
      <w:bookmarkStart w:id="499" w:name="_Toc478366933"/>
      <w:bookmarkStart w:id="500" w:name="_Toc479083546"/>
      <w:bookmarkStart w:id="501" w:name="_Toc477960195"/>
      <w:bookmarkStart w:id="502" w:name="_Toc477960635"/>
      <w:bookmarkStart w:id="503" w:name="_Toc477961074"/>
      <w:bookmarkStart w:id="504" w:name="_Toc477961552"/>
      <w:bookmarkStart w:id="505" w:name="_Toc477962034"/>
      <w:bookmarkStart w:id="506" w:name="_Toc477962521"/>
      <w:bookmarkStart w:id="507" w:name="_Toc477963007"/>
      <w:bookmarkStart w:id="508" w:name="_Toc477963494"/>
      <w:bookmarkStart w:id="509" w:name="_Toc478042686"/>
      <w:bookmarkStart w:id="510" w:name="_Toc478366934"/>
      <w:bookmarkStart w:id="511" w:name="_Toc479083547"/>
      <w:bookmarkStart w:id="512" w:name="_Toc477960196"/>
      <w:bookmarkStart w:id="513" w:name="_Toc477960636"/>
      <w:bookmarkStart w:id="514" w:name="_Toc477961075"/>
      <w:bookmarkStart w:id="515" w:name="_Toc477961553"/>
      <w:bookmarkStart w:id="516" w:name="_Toc477962035"/>
      <w:bookmarkStart w:id="517" w:name="_Toc477962522"/>
      <w:bookmarkStart w:id="518" w:name="_Toc477963008"/>
      <w:bookmarkStart w:id="519" w:name="_Toc477963495"/>
      <w:bookmarkStart w:id="520" w:name="_Toc478042687"/>
      <w:bookmarkStart w:id="521" w:name="_Toc478366935"/>
      <w:bookmarkStart w:id="522" w:name="_Toc479083548"/>
      <w:bookmarkStart w:id="523" w:name="_Toc477960197"/>
      <w:bookmarkStart w:id="524" w:name="_Toc477960637"/>
      <w:bookmarkStart w:id="525" w:name="_Toc477961076"/>
      <w:bookmarkStart w:id="526" w:name="_Toc477961554"/>
      <w:bookmarkStart w:id="527" w:name="_Toc477962036"/>
      <w:bookmarkStart w:id="528" w:name="_Toc477962523"/>
      <w:bookmarkStart w:id="529" w:name="_Toc477963009"/>
      <w:bookmarkStart w:id="530" w:name="_Toc477963496"/>
      <w:bookmarkStart w:id="531" w:name="_Toc478042688"/>
      <w:bookmarkStart w:id="532" w:name="_Toc478366936"/>
      <w:bookmarkStart w:id="533" w:name="_Toc479083549"/>
      <w:bookmarkStart w:id="534" w:name="_Toc477960198"/>
      <w:bookmarkStart w:id="535" w:name="_Toc477960638"/>
      <w:bookmarkStart w:id="536" w:name="_Toc477961077"/>
      <w:bookmarkStart w:id="537" w:name="_Toc477961555"/>
      <w:bookmarkStart w:id="538" w:name="_Toc477962037"/>
      <w:bookmarkStart w:id="539" w:name="_Toc477962524"/>
      <w:bookmarkStart w:id="540" w:name="_Toc477963010"/>
      <w:bookmarkStart w:id="541" w:name="_Toc477963497"/>
      <w:bookmarkStart w:id="542" w:name="_Toc478042689"/>
      <w:bookmarkStart w:id="543" w:name="_Toc478366937"/>
      <w:bookmarkStart w:id="544" w:name="_Toc479083550"/>
      <w:bookmarkStart w:id="545" w:name="_Toc477960199"/>
      <w:bookmarkStart w:id="546" w:name="_Toc477960639"/>
      <w:bookmarkStart w:id="547" w:name="_Toc477961078"/>
      <w:bookmarkStart w:id="548" w:name="_Toc477961556"/>
      <w:bookmarkStart w:id="549" w:name="_Toc477962038"/>
      <w:bookmarkStart w:id="550" w:name="_Toc477962525"/>
      <w:bookmarkStart w:id="551" w:name="_Toc477963011"/>
      <w:bookmarkStart w:id="552" w:name="_Toc477963498"/>
      <w:bookmarkStart w:id="553" w:name="_Toc478042690"/>
      <w:bookmarkStart w:id="554" w:name="_Toc478366938"/>
      <w:bookmarkStart w:id="555" w:name="_Toc479083551"/>
      <w:bookmarkStart w:id="556" w:name="_Toc477960200"/>
      <w:bookmarkStart w:id="557" w:name="_Toc477960640"/>
      <w:bookmarkStart w:id="558" w:name="_Toc477961079"/>
      <w:bookmarkStart w:id="559" w:name="_Toc477961557"/>
      <w:bookmarkStart w:id="560" w:name="_Toc477962039"/>
      <w:bookmarkStart w:id="561" w:name="_Toc477962526"/>
      <w:bookmarkStart w:id="562" w:name="_Toc477963012"/>
      <w:bookmarkStart w:id="563" w:name="_Toc477963499"/>
      <w:bookmarkStart w:id="564" w:name="_Toc478042691"/>
      <w:bookmarkStart w:id="565" w:name="_Toc478366939"/>
      <w:bookmarkStart w:id="566" w:name="_Toc479083552"/>
      <w:bookmarkStart w:id="567" w:name="_Toc477960201"/>
      <w:bookmarkStart w:id="568" w:name="_Toc477960641"/>
      <w:bookmarkStart w:id="569" w:name="_Toc477961080"/>
      <w:bookmarkStart w:id="570" w:name="_Toc477961558"/>
      <w:bookmarkStart w:id="571" w:name="_Toc477962040"/>
      <w:bookmarkStart w:id="572" w:name="_Toc477962527"/>
      <w:bookmarkStart w:id="573" w:name="_Toc477963013"/>
      <w:bookmarkStart w:id="574" w:name="_Toc477963500"/>
      <w:bookmarkStart w:id="575" w:name="_Toc478042692"/>
      <w:bookmarkStart w:id="576" w:name="_Toc478366940"/>
      <w:bookmarkStart w:id="577" w:name="_Toc479083553"/>
      <w:bookmarkStart w:id="578" w:name="_Toc477960202"/>
      <w:bookmarkStart w:id="579" w:name="_Toc477960642"/>
      <w:bookmarkStart w:id="580" w:name="_Toc477961081"/>
      <w:bookmarkStart w:id="581" w:name="_Toc477961559"/>
      <w:bookmarkStart w:id="582" w:name="_Toc477962041"/>
      <w:bookmarkStart w:id="583" w:name="_Toc477962528"/>
      <w:bookmarkStart w:id="584" w:name="_Toc477963014"/>
      <w:bookmarkStart w:id="585" w:name="_Toc477963501"/>
      <w:bookmarkStart w:id="586" w:name="_Toc478042693"/>
      <w:bookmarkStart w:id="587" w:name="_Toc478366941"/>
      <w:bookmarkStart w:id="588" w:name="_Toc479083554"/>
      <w:bookmarkStart w:id="589" w:name="_Toc477960203"/>
      <w:bookmarkStart w:id="590" w:name="_Toc477960643"/>
      <w:bookmarkStart w:id="591" w:name="_Toc477961082"/>
      <w:bookmarkStart w:id="592" w:name="_Toc477961560"/>
      <w:bookmarkStart w:id="593" w:name="_Toc477962042"/>
      <w:bookmarkStart w:id="594" w:name="_Toc477962529"/>
      <w:bookmarkStart w:id="595" w:name="_Toc477963015"/>
      <w:bookmarkStart w:id="596" w:name="_Toc477963502"/>
      <w:bookmarkStart w:id="597" w:name="_Toc478042694"/>
      <w:bookmarkStart w:id="598" w:name="_Toc478366942"/>
      <w:bookmarkStart w:id="599" w:name="_Toc479083555"/>
      <w:bookmarkStart w:id="600" w:name="_Toc477960204"/>
      <w:bookmarkStart w:id="601" w:name="_Toc477960644"/>
      <w:bookmarkStart w:id="602" w:name="_Toc477961083"/>
      <w:bookmarkStart w:id="603" w:name="_Toc477961561"/>
      <w:bookmarkStart w:id="604" w:name="_Toc477962043"/>
      <w:bookmarkStart w:id="605" w:name="_Toc477962530"/>
      <w:bookmarkStart w:id="606" w:name="_Toc477963016"/>
      <w:bookmarkStart w:id="607" w:name="_Toc477963503"/>
      <w:bookmarkStart w:id="608" w:name="_Toc478042695"/>
      <w:bookmarkStart w:id="609" w:name="_Toc478366943"/>
      <w:bookmarkStart w:id="610" w:name="_Toc479083556"/>
      <w:bookmarkStart w:id="611" w:name="_Toc477960205"/>
      <w:bookmarkStart w:id="612" w:name="_Toc477960645"/>
      <w:bookmarkStart w:id="613" w:name="_Toc477961084"/>
      <w:bookmarkStart w:id="614" w:name="_Toc477961562"/>
      <w:bookmarkStart w:id="615" w:name="_Toc477962044"/>
      <w:bookmarkStart w:id="616" w:name="_Toc477962531"/>
      <w:bookmarkStart w:id="617" w:name="_Toc477963017"/>
      <w:bookmarkStart w:id="618" w:name="_Toc477963504"/>
      <w:bookmarkStart w:id="619" w:name="_Toc478042696"/>
      <w:bookmarkStart w:id="620" w:name="_Toc478366944"/>
      <w:bookmarkStart w:id="621" w:name="_Toc479083557"/>
      <w:bookmarkStart w:id="622" w:name="_Toc477960206"/>
      <w:bookmarkStart w:id="623" w:name="_Toc477960646"/>
      <w:bookmarkStart w:id="624" w:name="_Toc477961085"/>
      <w:bookmarkStart w:id="625" w:name="_Toc477961563"/>
      <w:bookmarkStart w:id="626" w:name="_Toc477962045"/>
      <w:bookmarkStart w:id="627" w:name="_Toc477962532"/>
      <w:bookmarkStart w:id="628" w:name="_Toc477963018"/>
      <w:bookmarkStart w:id="629" w:name="_Toc477963505"/>
      <w:bookmarkStart w:id="630" w:name="_Toc478042697"/>
      <w:bookmarkStart w:id="631" w:name="_Toc478366945"/>
      <w:bookmarkStart w:id="632" w:name="_Toc479083558"/>
      <w:bookmarkStart w:id="633" w:name="_Toc477960207"/>
      <w:bookmarkStart w:id="634" w:name="_Toc477960647"/>
      <w:bookmarkStart w:id="635" w:name="_Toc477961086"/>
      <w:bookmarkStart w:id="636" w:name="_Toc477961564"/>
      <w:bookmarkStart w:id="637" w:name="_Toc477962046"/>
      <w:bookmarkStart w:id="638" w:name="_Toc477962533"/>
      <w:bookmarkStart w:id="639" w:name="_Toc477963019"/>
      <w:bookmarkStart w:id="640" w:name="_Toc477963506"/>
      <w:bookmarkStart w:id="641" w:name="_Toc478042698"/>
      <w:bookmarkStart w:id="642" w:name="_Toc478366946"/>
      <w:bookmarkStart w:id="643" w:name="_Toc479083559"/>
      <w:bookmarkStart w:id="644" w:name="_Toc477960208"/>
      <w:bookmarkStart w:id="645" w:name="_Toc477960648"/>
      <w:bookmarkStart w:id="646" w:name="_Toc477961087"/>
      <w:bookmarkStart w:id="647" w:name="_Toc477961565"/>
      <w:bookmarkStart w:id="648" w:name="_Toc477962047"/>
      <w:bookmarkStart w:id="649" w:name="_Toc477962534"/>
      <w:bookmarkStart w:id="650" w:name="_Toc477963020"/>
      <w:bookmarkStart w:id="651" w:name="_Toc477963507"/>
      <w:bookmarkStart w:id="652" w:name="_Toc478042699"/>
      <w:bookmarkStart w:id="653" w:name="_Toc478366947"/>
      <w:bookmarkStart w:id="654" w:name="_Toc479083560"/>
      <w:bookmarkStart w:id="655" w:name="_Toc477960209"/>
      <w:bookmarkStart w:id="656" w:name="_Toc477960649"/>
      <w:bookmarkStart w:id="657" w:name="_Toc477961088"/>
      <w:bookmarkStart w:id="658" w:name="_Toc477961566"/>
      <w:bookmarkStart w:id="659" w:name="_Toc477962048"/>
      <w:bookmarkStart w:id="660" w:name="_Toc477962535"/>
      <w:bookmarkStart w:id="661" w:name="_Toc477963021"/>
      <w:bookmarkStart w:id="662" w:name="_Toc477963508"/>
      <w:bookmarkStart w:id="663" w:name="_Toc478042700"/>
      <w:bookmarkStart w:id="664" w:name="_Toc478366948"/>
      <w:bookmarkStart w:id="665" w:name="_Toc479083561"/>
      <w:bookmarkStart w:id="666" w:name="_Toc477960210"/>
      <w:bookmarkStart w:id="667" w:name="_Toc477960650"/>
      <w:bookmarkStart w:id="668" w:name="_Toc477961089"/>
      <w:bookmarkStart w:id="669" w:name="_Toc477961567"/>
      <w:bookmarkStart w:id="670" w:name="_Toc477962049"/>
      <w:bookmarkStart w:id="671" w:name="_Toc477962536"/>
      <w:bookmarkStart w:id="672" w:name="_Toc477963022"/>
      <w:bookmarkStart w:id="673" w:name="_Toc477963509"/>
      <w:bookmarkStart w:id="674" w:name="_Toc478042701"/>
      <w:bookmarkStart w:id="675" w:name="_Toc478366949"/>
      <w:bookmarkStart w:id="676" w:name="_Toc479083562"/>
      <w:bookmarkStart w:id="677" w:name="_Toc477960211"/>
      <w:bookmarkStart w:id="678" w:name="_Toc477960651"/>
      <w:bookmarkStart w:id="679" w:name="_Toc477961090"/>
      <w:bookmarkStart w:id="680" w:name="_Toc477961568"/>
      <w:bookmarkStart w:id="681" w:name="_Toc477962050"/>
      <w:bookmarkStart w:id="682" w:name="_Toc477962537"/>
      <w:bookmarkStart w:id="683" w:name="_Toc477963023"/>
      <w:bookmarkStart w:id="684" w:name="_Toc477963510"/>
      <w:bookmarkStart w:id="685" w:name="_Toc478042702"/>
      <w:bookmarkStart w:id="686" w:name="_Toc478366950"/>
      <w:bookmarkStart w:id="687" w:name="_Toc479083563"/>
      <w:bookmarkStart w:id="688" w:name="_Toc477960212"/>
      <w:bookmarkStart w:id="689" w:name="_Toc477960652"/>
      <w:bookmarkStart w:id="690" w:name="_Toc477961091"/>
      <w:bookmarkStart w:id="691" w:name="_Toc477961569"/>
      <w:bookmarkStart w:id="692" w:name="_Toc477962051"/>
      <w:bookmarkStart w:id="693" w:name="_Toc477962538"/>
      <w:bookmarkStart w:id="694" w:name="_Toc477963024"/>
      <w:bookmarkStart w:id="695" w:name="_Toc477963511"/>
      <w:bookmarkStart w:id="696" w:name="_Toc478042703"/>
      <w:bookmarkStart w:id="697" w:name="_Toc478366951"/>
      <w:bookmarkStart w:id="698" w:name="_Toc479083564"/>
      <w:bookmarkStart w:id="699" w:name="_Toc477960213"/>
      <w:bookmarkStart w:id="700" w:name="_Toc477960653"/>
      <w:bookmarkStart w:id="701" w:name="_Toc477961092"/>
      <w:bookmarkStart w:id="702" w:name="_Toc477961570"/>
      <w:bookmarkStart w:id="703" w:name="_Toc477962052"/>
      <w:bookmarkStart w:id="704" w:name="_Toc477962539"/>
      <w:bookmarkStart w:id="705" w:name="_Toc477963025"/>
      <w:bookmarkStart w:id="706" w:name="_Toc477963512"/>
      <w:bookmarkStart w:id="707" w:name="_Toc478042704"/>
      <w:bookmarkStart w:id="708" w:name="_Toc478366952"/>
      <w:bookmarkStart w:id="709" w:name="_Toc479083565"/>
      <w:bookmarkStart w:id="710" w:name="_Toc477960214"/>
      <w:bookmarkStart w:id="711" w:name="_Toc477960654"/>
      <w:bookmarkStart w:id="712" w:name="_Toc477961093"/>
      <w:bookmarkStart w:id="713" w:name="_Toc477961571"/>
      <w:bookmarkStart w:id="714" w:name="_Toc477962053"/>
      <w:bookmarkStart w:id="715" w:name="_Toc477962540"/>
      <w:bookmarkStart w:id="716" w:name="_Toc477963026"/>
      <w:bookmarkStart w:id="717" w:name="_Toc477963513"/>
      <w:bookmarkStart w:id="718" w:name="_Toc478042705"/>
      <w:bookmarkStart w:id="719" w:name="_Toc478366953"/>
      <w:bookmarkStart w:id="720" w:name="_Toc479083566"/>
      <w:bookmarkStart w:id="721" w:name="_Toc477960215"/>
      <w:bookmarkStart w:id="722" w:name="_Toc477960655"/>
      <w:bookmarkStart w:id="723" w:name="_Toc477961094"/>
      <w:bookmarkStart w:id="724" w:name="_Toc477961572"/>
      <w:bookmarkStart w:id="725" w:name="_Toc477962054"/>
      <w:bookmarkStart w:id="726" w:name="_Toc477962541"/>
      <w:bookmarkStart w:id="727" w:name="_Toc477963027"/>
      <w:bookmarkStart w:id="728" w:name="_Toc477963514"/>
      <w:bookmarkStart w:id="729" w:name="_Toc478042706"/>
      <w:bookmarkStart w:id="730" w:name="_Toc478366954"/>
      <w:bookmarkStart w:id="731" w:name="_Toc479083567"/>
      <w:bookmarkStart w:id="732" w:name="_Toc477960216"/>
      <w:bookmarkStart w:id="733" w:name="_Toc477960656"/>
      <w:bookmarkStart w:id="734" w:name="_Toc477961095"/>
      <w:bookmarkStart w:id="735" w:name="_Toc477961573"/>
      <w:bookmarkStart w:id="736" w:name="_Toc477962055"/>
      <w:bookmarkStart w:id="737" w:name="_Toc477962542"/>
      <w:bookmarkStart w:id="738" w:name="_Toc477963028"/>
      <w:bookmarkStart w:id="739" w:name="_Toc477963515"/>
      <w:bookmarkStart w:id="740" w:name="_Toc478042707"/>
      <w:bookmarkStart w:id="741" w:name="_Toc478366955"/>
      <w:bookmarkStart w:id="742" w:name="_Toc479083568"/>
      <w:bookmarkStart w:id="743" w:name="_Toc477960217"/>
      <w:bookmarkStart w:id="744" w:name="_Toc477960657"/>
      <w:bookmarkStart w:id="745" w:name="_Toc477961096"/>
      <w:bookmarkStart w:id="746" w:name="_Toc477961574"/>
      <w:bookmarkStart w:id="747" w:name="_Toc477962056"/>
      <w:bookmarkStart w:id="748" w:name="_Toc477962543"/>
      <w:bookmarkStart w:id="749" w:name="_Toc477963029"/>
      <w:bookmarkStart w:id="750" w:name="_Toc477963516"/>
      <w:bookmarkStart w:id="751" w:name="_Toc478042708"/>
      <w:bookmarkStart w:id="752" w:name="_Toc478366956"/>
      <w:bookmarkStart w:id="753" w:name="_Toc479083569"/>
      <w:bookmarkStart w:id="754" w:name="_Obligations_on_TPA"/>
      <w:bookmarkStart w:id="755" w:name="_Toc483222834"/>
      <w:bookmarkStart w:id="756" w:name="_Toc501621205"/>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D123AE">
        <w:t>4.6.2   Obligations on TPA partners</w:t>
      </w:r>
      <w:bookmarkEnd w:id="755"/>
      <w:bookmarkEnd w:id="756"/>
    </w:p>
    <w:p w14:paraId="04BE3930" w14:textId="77777777" w:rsidR="00983AE6" w:rsidRPr="00736F23" w:rsidRDefault="00983AE6" w:rsidP="00983AE6">
      <w:r w:rsidRPr="00736F23">
        <w:t xml:space="preserve">It is important that all VET Student Loans information is available to students as if they were studying at the </w:t>
      </w:r>
      <w:r>
        <w:t>approved course</w:t>
      </w:r>
      <w:r w:rsidRPr="00736F23">
        <w:t xml:space="preserve"> provider</w:t>
      </w:r>
      <w:r>
        <w:t xml:space="preserve"> with whom the student has enrolled</w:t>
      </w:r>
      <w:r w:rsidRPr="00736F23">
        <w:t xml:space="preserve">. </w:t>
      </w:r>
    </w:p>
    <w:p w14:paraId="10A496FF" w14:textId="77777777" w:rsidR="00983AE6" w:rsidRPr="00736F23" w:rsidRDefault="00983AE6" w:rsidP="00983AE6">
      <w:r w:rsidRPr="00736F23">
        <w:t xml:space="preserve">All contact with the department, including requests for publications, must be made by the </w:t>
      </w:r>
      <w:r>
        <w:t>approved course</w:t>
      </w:r>
      <w:r w:rsidRPr="00736F23">
        <w:t xml:space="preserve"> provider and not the third party or partner.</w:t>
      </w:r>
    </w:p>
    <w:p w14:paraId="15415CBA" w14:textId="77777777" w:rsidR="00983AE6" w:rsidRPr="00736F23" w:rsidRDefault="00983AE6" w:rsidP="00983AE6">
      <w:r w:rsidRPr="00736F23">
        <w:t>The provider is required to comply with all the requirements in the Act including:</w:t>
      </w:r>
    </w:p>
    <w:p w14:paraId="078F05DE" w14:textId="77777777" w:rsidR="00983AE6" w:rsidRPr="00736F23" w:rsidRDefault="00983AE6" w:rsidP="00983AE6">
      <w:pPr>
        <w:pStyle w:val="ListBullet"/>
      </w:pPr>
      <w:r w:rsidRPr="00736F23">
        <w:t>student eligibility for VET Student Loans</w:t>
      </w:r>
    </w:p>
    <w:p w14:paraId="14E0D544" w14:textId="77777777" w:rsidR="00983AE6" w:rsidRPr="00736F23" w:rsidRDefault="00983AE6" w:rsidP="00983AE6">
      <w:pPr>
        <w:pStyle w:val="ListBullet"/>
      </w:pPr>
      <w:r w:rsidRPr="00736F23">
        <w:t>the determination of census da</w:t>
      </w:r>
      <w:r>
        <w:t>ys</w:t>
      </w:r>
      <w:r w:rsidRPr="00736F23">
        <w:t xml:space="preserve"> for parts of courses and units of study</w:t>
      </w:r>
    </w:p>
    <w:p w14:paraId="10624D59" w14:textId="77777777" w:rsidR="00983AE6" w:rsidRPr="00736F23" w:rsidRDefault="00983AE6" w:rsidP="00983AE6">
      <w:pPr>
        <w:pStyle w:val="ListBullet"/>
      </w:pPr>
      <w:r w:rsidRPr="00736F23">
        <w:t>student grievance provisions</w:t>
      </w:r>
    </w:p>
    <w:p w14:paraId="263E194A" w14:textId="77777777" w:rsidR="00983AE6" w:rsidRPr="00736F23" w:rsidRDefault="00983AE6" w:rsidP="00983AE6">
      <w:pPr>
        <w:pStyle w:val="ListBullet"/>
      </w:pPr>
      <w:r w:rsidRPr="00736F23">
        <w:t>publishing and reporting requirements and</w:t>
      </w:r>
    </w:p>
    <w:p w14:paraId="375CEA13" w14:textId="77777777" w:rsidR="00983AE6" w:rsidRPr="003B4E65" w:rsidRDefault="00983AE6" w:rsidP="00983AE6">
      <w:pPr>
        <w:pStyle w:val="ListBullet"/>
        <w:rPr>
          <w:b/>
          <w:i/>
          <w:color w:val="7030A0"/>
        </w:rPr>
      </w:pPr>
      <w:r w:rsidRPr="00736F23">
        <w:t>considering applications for re</w:t>
      </w:r>
      <w:r w:rsidRPr="00736F23">
        <w:noBreakHyphen/>
        <w:t>crediting a student’s FEE-HELP balance</w:t>
      </w:r>
      <w:r w:rsidR="003F4892">
        <w:t>.</w:t>
      </w:r>
    </w:p>
    <w:p w14:paraId="699FFE79" w14:textId="4469286F" w:rsidR="00E574FF" w:rsidRDefault="00983AE6" w:rsidP="00A81EF7">
      <w:pPr>
        <w:rPr>
          <w:rFonts w:ascii="Calibri" w:eastAsiaTheme="majorEastAsia" w:hAnsi="Calibri" w:cstheme="majorBidi"/>
          <w:b/>
          <w:bCs/>
          <w:color w:val="24206B"/>
        </w:rPr>
      </w:pPr>
      <w:r>
        <w:t xml:space="preserve">The identity of the approved course provider </w:t>
      </w:r>
      <w:r w:rsidRPr="003B4E65">
        <w:t>must be made clear and transparent in all documentation and marketing material</w:t>
      </w:r>
      <w:r>
        <w:t xml:space="preserve">. This information must not be misleading or imply that the third party provider is the </w:t>
      </w:r>
      <w:r w:rsidRPr="003B4E65">
        <w:t xml:space="preserve">approved course provider. </w:t>
      </w:r>
    </w:p>
    <w:p w14:paraId="417D668F" w14:textId="77777777" w:rsidR="00243258" w:rsidRDefault="00243258">
      <w:pPr>
        <w:spacing w:line="276" w:lineRule="auto"/>
        <w:rPr>
          <w:rFonts w:ascii="Calibri" w:eastAsiaTheme="majorEastAsia" w:hAnsi="Calibri" w:cstheme="majorBidi"/>
          <w:b/>
          <w:bCs/>
          <w:color w:val="24206B"/>
        </w:rPr>
      </w:pPr>
      <w:bookmarkStart w:id="757" w:name="_4.6.3__"/>
      <w:bookmarkStart w:id="758" w:name="_Toc483222835"/>
      <w:bookmarkEnd w:id="757"/>
      <w:r>
        <w:br w:type="page"/>
      </w:r>
    </w:p>
    <w:p w14:paraId="1E5D1194" w14:textId="6EC9743E" w:rsidR="00983AE6" w:rsidRPr="00D123AE" w:rsidRDefault="00983AE6" w:rsidP="00983AE6">
      <w:pPr>
        <w:pStyle w:val="Heading3"/>
      </w:pPr>
      <w:bookmarkStart w:id="759" w:name="_Toc501621206"/>
      <w:r w:rsidRPr="00D123AE">
        <w:lastRenderedPageBreak/>
        <w:t>4.6.3   Approval of TPA where the partner is not an approved course provider</w:t>
      </w:r>
      <w:bookmarkEnd w:id="758"/>
      <w:bookmarkEnd w:id="759"/>
      <w:r w:rsidRPr="00D123AE">
        <w:t xml:space="preserve"> </w:t>
      </w:r>
    </w:p>
    <w:p w14:paraId="2E8447F8" w14:textId="4A1AA3FE" w:rsidR="00265337" w:rsidRPr="00A81EF7" w:rsidRDefault="00CD3B85" w:rsidP="00C9014F">
      <w:pPr>
        <w:rPr>
          <w:b/>
        </w:rPr>
      </w:pPr>
      <w:r w:rsidRPr="00A81EF7">
        <w:rPr>
          <w:b/>
        </w:rPr>
        <w:t xml:space="preserve">Workflow: </w:t>
      </w:r>
      <w:r w:rsidR="00265337" w:rsidRPr="00A81EF7">
        <w:rPr>
          <w:b/>
        </w:rPr>
        <w:t>Does a provider need to apply for approval of third party delivery?</w:t>
      </w:r>
    </w:p>
    <w:p w14:paraId="5C53E6F8" w14:textId="7664EB39" w:rsidR="00886F6C" w:rsidRDefault="00625702" w:rsidP="0028499D">
      <w:pPr>
        <w:jc w:val="center"/>
      </w:pPr>
      <w:r>
        <w:rPr>
          <w:noProof/>
          <w:lang w:eastAsia="en-AU"/>
        </w:rPr>
        <w:drawing>
          <wp:inline distT="0" distB="0" distL="0" distR="0" wp14:anchorId="18A0E065" wp14:editId="3D637E73">
            <wp:extent cx="5800954" cy="3180108"/>
            <wp:effectExtent l="0" t="0" r="9525" b="1270"/>
            <wp:docPr id="16" name="Picture 16" descr="Workflow diagram to determine if a third party agreement is required." title="Work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820108" cy="3190608"/>
                    </a:xfrm>
                    <a:prstGeom prst="rect">
                      <a:avLst/>
                    </a:prstGeom>
                  </pic:spPr>
                </pic:pic>
              </a:graphicData>
            </a:graphic>
          </wp:inline>
        </w:drawing>
      </w:r>
    </w:p>
    <w:p w14:paraId="6333EAC0" w14:textId="38108D72" w:rsidR="00983AE6" w:rsidRDefault="00183431" w:rsidP="00983AE6">
      <w:pPr>
        <w:rPr>
          <w:i/>
        </w:rPr>
      </w:pPr>
      <w:r>
        <w:t xml:space="preserve">Providers that </w:t>
      </w:r>
      <w:r w:rsidR="00D23625">
        <w:t xml:space="preserve">wish to </w:t>
      </w:r>
      <w:r w:rsidR="008547D1">
        <w:t>obtain</w:t>
      </w:r>
      <w:r w:rsidR="00D23625">
        <w:t xml:space="preserve"> approval of proposed third party delivery/</w:t>
      </w:r>
      <w:r>
        <w:t xml:space="preserve"> </w:t>
      </w:r>
      <w:r w:rsidR="00983AE6" w:rsidRPr="00A8563E">
        <w:t>third party arrangement</w:t>
      </w:r>
      <w:r w:rsidR="008547D1">
        <w:t>s</w:t>
      </w:r>
      <w:r w:rsidR="00983AE6" w:rsidRPr="00A8563E">
        <w:t xml:space="preserve"> under subparagraph </w:t>
      </w:r>
      <w:r w:rsidR="00983AE6" w:rsidRPr="009B6106">
        <w:t>15(1)(b)(iii)</w:t>
      </w:r>
      <w:r w:rsidR="00983AE6" w:rsidRPr="00A8563E">
        <w:t xml:space="preserve"> of the </w:t>
      </w:r>
      <w:r w:rsidR="00983AE6">
        <w:t>Act</w:t>
      </w:r>
      <w:r w:rsidR="008547D1">
        <w:t xml:space="preserve"> need to request approval from the department</w:t>
      </w:r>
      <w:r w:rsidR="00983AE6" w:rsidRPr="00A8563E">
        <w:t>.</w:t>
      </w:r>
      <w:r w:rsidR="00983AE6">
        <w:t xml:space="preserve"> </w:t>
      </w:r>
      <w:r w:rsidR="008547D1" w:rsidRPr="00A8563E">
        <w:t>There is no required form for an application</w:t>
      </w:r>
      <w:r w:rsidR="008547D1">
        <w:t xml:space="preserve">. </w:t>
      </w:r>
      <w:r w:rsidR="00983AE6">
        <w:t>For the convenience of providers, the department has established a procedure for applications as detailed below in the following sections. Deviation from this procedure may result in delays in a decision.</w:t>
      </w:r>
    </w:p>
    <w:p w14:paraId="59C1AA48" w14:textId="77777777" w:rsidR="000C58DC" w:rsidRDefault="00983AE6" w:rsidP="000C58DC">
      <w:r w:rsidRPr="00736F23">
        <w:t xml:space="preserve">Applications must </w:t>
      </w:r>
      <w:r>
        <w:t>be uploaded to HITS and notification of the application must be sent to the department via</w:t>
      </w:r>
      <w:r w:rsidRPr="00736F23">
        <w:t xml:space="preserve"> </w:t>
      </w:r>
      <w:r>
        <w:t xml:space="preserve">the </w:t>
      </w:r>
      <w:r w:rsidR="007C3509">
        <w:t>p</w:t>
      </w:r>
      <w:r w:rsidRPr="00E03E53">
        <w:t>rovider online enquiry form at</w:t>
      </w:r>
      <w:r w:rsidR="000C58DC">
        <w:t>:</w:t>
      </w:r>
      <w:r w:rsidRPr="00E03E53">
        <w:t xml:space="preserve"> </w:t>
      </w:r>
      <w:hyperlink r:id="rId65" w:history="1">
        <w:r w:rsidR="000C58DC" w:rsidRPr="000C58DC">
          <w:rPr>
            <w:rStyle w:val="Hyperlink"/>
          </w:rPr>
          <w:t>www.education.gov.au/information-vet-student-loans-approved-providers</w:t>
        </w:r>
      </w:hyperlink>
      <w:r w:rsidR="000C58DC">
        <w:rPr>
          <w:b/>
        </w:rPr>
        <w:t>.</w:t>
      </w:r>
    </w:p>
    <w:p w14:paraId="75AE6086" w14:textId="77777777" w:rsidR="005C79FB" w:rsidRDefault="005C79FB" w:rsidP="005C79FB">
      <w:r>
        <w:t>Under ‘Frequently asked questions’ scroll to the last option on the list (‘Click here if you still</w:t>
      </w:r>
      <w:r w:rsidR="00DF7FE6">
        <w:t xml:space="preserve"> need help’), then choose ‘New </w:t>
      </w:r>
      <w:r>
        <w:t>VET Student Loans’ from the drop down list and then choose ‘Other’. Insert in the enquiry text field:</w:t>
      </w:r>
    </w:p>
    <w:p w14:paraId="49AAABE0" w14:textId="7DD3148E" w:rsidR="006B13D0" w:rsidRPr="006B13D0" w:rsidRDefault="00373C26" w:rsidP="006B13D0">
      <w:pPr>
        <w:spacing w:before="240"/>
        <w:rPr>
          <w:rFonts w:ascii="Calibri" w:hAnsi="Calibri"/>
          <w:bCs/>
          <w:i/>
          <w:iCs/>
          <w:spacing w:val="10"/>
        </w:rPr>
      </w:pPr>
      <w:r>
        <w:rPr>
          <w:rStyle w:val="Emphasis"/>
        </w:rPr>
        <w:t xml:space="preserve">Application </w:t>
      </w:r>
      <w:r w:rsidR="00D41769">
        <w:rPr>
          <w:rStyle w:val="Emphasis"/>
        </w:rPr>
        <w:t>–</w:t>
      </w:r>
      <w:r>
        <w:rPr>
          <w:rStyle w:val="Emphasis"/>
        </w:rPr>
        <w:t xml:space="preserve"> </w:t>
      </w:r>
      <w:r w:rsidR="00243258">
        <w:rPr>
          <w:rStyle w:val="Emphasis"/>
        </w:rPr>
        <w:t>TPA</w:t>
      </w:r>
      <w:r w:rsidR="00D41769">
        <w:rPr>
          <w:rStyle w:val="Emphasis"/>
        </w:rPr>
        <w:t xml:space="preserve"> approval </w:t>
      </w:r>
      <w:r w:rsidR="00243258">
        <w:rPr>
          <w:rStyle w:val="Emphasis"/>
        </w:rPr>
        <w:t xml:space="preserve">request </w:t>
      </w:r>
      <w:r w:rsidR="00D41769" w:rsidRPr="00EA0DA9">
        <w:rPr>
          <w:rStyle w:val="Emphasis"/>
        </w:rPr>
        <w:t>- [provider name]</w:t>
      </w:r>
      <w:bookmarkStart w:id="760" w:name="_Toc483222836"/>
    </w:p>
    <w:p w14:paraId="10882CD7" w14:textId="77777777" w:rsidR="00983AE6" w:rsidRPr="00D123AE" w:rsidRDefault="00983AE6" w:rsidP="00983AE6">
      <w:pPr>
        <w:pStyle w:val="Heading3"/>
      </w:pPr>
      <w:bookmarkStart w:id="761" w:name="_Toc501621207"/>
      <w:r w:rsidRPr="00D123AE">
        <w:t>4.6.4   Procedure for assessing applications for third party arrangements</w:t>
      </w:r>
      <w:bookmarkEnd w:id="760"/>
      <w:bookmarkEnd w:id="761"/>
    </w:p>
    <w:p w14:paraId="532CE22F" w14:textId="77777777" w:rsidR="00983AE6" w:rsidRPr="0095366D" w:rsidRDefault="00983AE6" w:rsidP="008224D7">
      <w:pPr>
        <w:pStyle w:val="Heading5"/>
      </w:pPr>
      <w:r w:rsidRPr="0095366D">
        <w:t>Part A – Minimum requirements</w:t>
      </w:r>
    </w:p>
    <w:p w14:paraId="7BEE1A1C" w14:textId="77777777" w:rsidR="00983AE6" w:rsidRPr="00A8563E" w:rsidRDefault="00983AE6" w:rsidP="00983AE6">
      <w:r>
        <w:t>A</w:t>
      </w:r>
      <w:r w:rsidRPr="00A8563E">
        <w:t xml:space="preserve">n application cannot be assessed unless all of the information below is included, or is available to the department: </w:t>
      </w:r>
    </w:p>
    <w:p w14:paraId="786C99BB" w14:textId="77777777" w:rsidR="00983AE6" w:rsidRPr="00A8563E" w:rsidRDefault="00983AE6" w:rsidP="00983AE6">
      <w:pPr>
        <w:pStyle w:val="numberpoint"/>
      </w:pPr>
      <w:r w:rsidRPr="00A8563E">
        <w:t>where applicable</w:t>
      </w:r>
    </w:p>
    <w:p w14:paraId="79529AFC" w14:textId="77777777" w:rsidR="00983AE6" w:rsidRPr="00A8563E" w:rsidRDefault="00983AE6" w:rsidP="00983AE6">
      <w:pPr>
        <w:pStyle w:val="alphabetpoint"/>
      </w:pPr>
      <w:r w:rsidRPr="00A8563E">
        <w:t>unit name and code</w:t>
      </w:r>
    </w:p>
    <w:p w14:paraId="71109FB8" w14:textId="77777777" w:rsidR="00983AE6" w:rsidRPr="00A8563E" w:rsidRDefault="00983AE6" w:rsidP="00983AE6">
      <w:pPr>
        <w:pStyle w:val="alphabetpoint"/>
      </w:pPr>
      <w:r w:rsidRPr="00A8563E">
        <w:t>part of unit name and code</w:t>
      </w:r>
    </w:p>
    <w:p w14:paraId="25CC3E85" w14:textId="77777777" w:rsidR="00983AE6" w:rsidRPr="00A8563E" w:rsidRDefault="00983AE6" w:rsidP="00983AE6">
      <w:pPr>
        <w:pStyle w:val="alphabetpoint"/>
      </w:pPr>
      <w:r w:rsidRPr="00A8563E">
        <w:t xml:space="preserve">course name and code, </w:t>
      </w:r>
      <w:r w:rsidRPr="00A8563E">
        <w:rPr>
          <w:b/>
        </w:rPr>
        <w:t>or</w:t>
      </w:r>
    </w:p>
    <w:p w14:paraId="278744B7" w14:textId="77777777" w:rsidR="00983AE6" w:rsidRPr="00EA0DA9" w:rsidRDefault="00983AE6" w:rsidP="00983AE6">
      <w:pPr>
        <w:pStyle w:val="alphabetpoint"/>
      </w:pPr>
      <w:r w:rsidRPr="00A8563E">
        <w:t>part of course name and code</w:t>
      </w:r>
    </w:p>
    <w:p w14:paraId="0B63F680" w14:textId="77777777" w:rsidR="00983AE6" w:rsidRPr="00A8563E" w:rsidRDefault="00983AE6" w:rsidP="00983AE6">
      <w:pPr>
        <w:pStyle w:val="numberpoint"/>
      </w:pPr>
      <w:r w:rsidRPr="00A8563E">
        <w:t>details of the nominated third party including</w:t>
      </w:r>
    </w:p>
    <w:p w14:paraId="14F4540F" w14:textId="77777777" w:rsidR="00983AE6" w:rsidRPr="00A8563E" w:rsidRDefault="00983AE6" w:rsidP="00CB2342">
      <w:pPr>
        <w:pStyle w:val="alphabetpoint"/>
        <w:numPr>
          <w:ilvl w:val="0"/>
          <w:numId w:val="31"/>
        </w:numPr>
        <w:ind w:left="709" w:hanging="284"/>
      </w:pPr>
      <w:r w:rsidRPr="00A8563E">
        <w:t>legal and trading name</w:t>
      </w:r>
    </w:p>
    <w:p w14:paraId="7C4988D4" w14:textId="77777777" w:rsidR="00983AE6" w:rsidRPr="00A8563E" w:rsidRDefault="00983AE6" w:rsidP="00CB2342">
      <w:pPr>
        <w:pStyle w:val="alphabetpoint"/>
        <w:numPr>
          <w:ilvl w:val="0"/>
          <w:numId w:val="31"/>
        </w:numPr>
        <w:ind w:left="709" w:hanging="284"/>
      </w:pPr>
      <w:r w:rsidRPr="00A8563E">
        <w:lastRenderedPageBreak/>
        <w:t>Australian Business Number (ABN)</w:t>
      </w:r>
    </w:p>
    <w:p w14:paraId="2C1334DD" w14:textId="1206209C" w:rsidR="00983AE6" w:rsidRPr="00A8563E" w:rsidRDefault="00983AE6" w:rsidP="00CB2342">
      <w:pPr>
        <w:pStyle w:val="alphabetpoint"/>
        <w:numPr>
          <w:ilvl w:val="0"/>
          <w:numId w:val="31"/>
        </w:numPr>
        <w:ind w:left="709" w:hanging="284"/>
      </w:pPr>
      <w:r w:rsidRPr="00A8563E">
        <w:t>registered training organisation (RTO)</w:t>
      </w:r>
      <w:r w:rsidR="00243258">
        <w:t xml:space="preserve"> </w:t>
      </w:r>
      <w:r w:rsidRPr="00A8563E">
        <w:t xml:space="preserve">code (if applicable), </w:t>
      </w:r>
      <w:r w:rsidRPr="00EA0DA9">
        <w:rPr>
          <w:b/>
        </w:rPr>
        <w:t xml:space="preserve">and </w:t>
      </w:r>
    </w:p>
    <w:p w14:paraId="77DFC1E5" w14:textId="77777777" w:rsidR="00983AE6" w:rsidRPr="00EA0DA9" w:rsidRDefault="00983AE6" w:rsidP="00CB2342">
      <w:pPr>
        <w:pStyle w:val="alphabetpoint"/>
        <w:numPr>
          <w:ilvl w:val="0"/>
          <w:numId w:val="31"/>
        </w:numPr>
        <w:ind w:left="709" w:hanging="284"/>
      </w:pPr>
      <w:r w:rsidRPr="00A8563E">
        <w:t xml:space="preserve">key personnel </w:t>
      </w:r>
    </w:p>
    <w:p w14:paraId="5E1E768F" w14:textId="77777777" w:rsidR="00983AE6" w:rsidRPr="00A8563E" w:rsidRDefault="00983AE6" w:rsidP="00983AE6">
      <w:pPr>
        <w:pStyle w:val="numberpoint"/>
      </w:pPr>
      <w:r w:rsidRPr="00A8563E">
        <w:t>details of the technical expertise the nominated third party provides including but not limited to:</w:t>
      </w:r>
    </w:p>
    <w:p w14:paraId="51B73C44" w14:textId="77777777" w:rsidR="00983AE6" w:rsidRPr="00A8563E" w:rsidRDefault="00983AE6" w:rsidP="00A0727A">
      <w:pPr>
        <w:pStyle w:val="alphabetpoint"/>
        <w:numPr>
          <w:ilvl w:val="0"/>
          <w:numId w:val="68"/>
        </w:numPr>
      </w:pPr>
      <w:r w:rsidRPr="00A8563E">
        <w:t>licences</w:t>
      </w:r>
    </w:p>
    <w:p w14:paraId="7D8FE141" w14:textId="77777777" w:rsidR="00983AE6" w:rsidRPr="00A8563E" w:rsidRDefault="00983AE6" w:rsidP="00983AE6">
      <w:pPr>
        <w:pStyle w:val="alphabetpoint"/>
      </w:pPr>
      <w:r w:rsidRPr="00A8563E">
        <w:t>registration under regulations</w:t>
      </w:r>
    </w:p>
    <w:p w14:paraId="13C171AD" w14:textId="77777777" w:rsidR="00983AE6" w:rsidRPr="00A8563E" w:rsidRDefault="00983AE6" w:rsidP="00983AE6">
      <w:pPr>
        <w:pStyle w:val="alphabetpoint"/>
      </w:pPr>
      <w:r w:rsidRPr="00A8563E">
        <w:t>qualifications of staff</w:t>
      </w:r>
    </w:p>
    <w:p w14:paraId="7F32C572" w14:textId="77777777" w:rsidR="00983AE6" w:rsidRPr="00A8563E" w:rsidRDefault="00983AE6" w:rsidP="00983AE6">
      <w:pPr>
        <w:pStyle w:val="alphabetpoint"/>
      </w:pPr>
      <w:r w:rsidRPr="00A8563E">
        <w:t xml:space="preserve">membership of associations or peak bodies, </w:t>
      </w:r>
      <w:r w:rsidRPr="00A8563E">
        <w:rPr>
          <w:b/>
        </w:rPr>
        <w:t>or</w:t>
      </w:r>
    </w:p>
    <w:p w14:paraId="59CDB12E" w14:textId="77777777" w:rsidR="00983AE6" w:rsidRPr="00A8563E" w:rsidRDefault="00983AE6" w:rsidP="00983AE6">
      <w:pPr>
        <w:pStyle w:val="alphabetpoint"/>
      </w:pPr>
      <w:r w:rsidRPr="00A8563E">
        <w:t>industry links</w:t>
      </w:r>
    </w:p>
    <w:p w14:paraId="43131AD6" w14:textId="77777777" w:rsidR="00983AE6" w:rsidRPr="00A8563E" w:rsidRDefault="00983AE6" w:rsidP="00983AE6">
      <w:pPr>
        <w:pStyle w:val="numberpoint"/>
      </w:pPr>
      <w:r w:rsidRPr="00A8563E">
        <w:t>details of the quality assurance and monitoring arrangements in place by the approved course provider to ensure the approved</w:t>
      </w:r>
      <w:r>
        <w:t xml:space="preserve"> course</w:t>
      </w:r>
      <w:r w:rsidRPr="00A8563E">
        <w:t xml:space="preserve"> provider is cognisant of the standard of delivery</w:t>
      </w:r>
      <w:r>
        <w:t xml:space="preserve"> by the third party</w:t>
      </w:r>
      <w:r w:rsidRPr="00A8563E">
        <w:t xml:space="preserve"> and has quality and regulatory oversight. Details should include:</w:t>
      </w:r>
    </w:p>
    <w:p w14:paraId="4EF95783" w14:textId="77777777" w:rsidR="00983AE6" w:rsidRPr="00A8563E" w:rsidRDefault="00983AE6" w:rsidP="00A0727A">
      <w:pPr>
        <w:pStyle w:val="alphabetpoint"/>
        <w:numPr>
          <w:ilvl w:val="0"/>
          <w:numId w:val="69"/>
        </w:numPr>
      </w:pPr>
      <w:r w:rsidRPr="00A8563E">
        <w:t xml:space="preserve">a contract outlining the arrangements for course delivery </w:t>
      </w:r>
    </w:p>
    <w:p w14:paraId="4E9F1947" w14:textId="77777777" w:rsidR="00983AE6" w:rsidRPr="00A8563E" w:rsidRDefault="00983AE6" w:rsidP="00983AE6">
      <w:pPr>
        <w:pStyle w:val="alphabetpoint"/>
      </w:pPr>
      <w:r w:rsidRPr="00A8563E">
        <w:t>a compliance strategy</w:t>
      </w:r>
    </w:p>
    <w:p w14:paraId="489986B8" w14:textId="77777777" w:rsidR="00983AE6" w:rsidRPr="00A8563E" w:rsidRDefault="00983AE6" w:rsidP="00983AE6">
      <w:pPr>
        <w:pStyle w:val="alphabetpoint"/>
      </w:pPr>
      <w:r w:rsidRPr="00A8563E">
        <w:t xml:space="preserve">roles responsible for oversight of compliance strategy, </w:t>
      </w:r>
      <w:r w:rsidRPr="00A8563E">
        <w:rPr>
          <w:b/>
        </w:rPr>
        <w:t>and</w:t>
      </w:r>
    </w:p>
    <w:p w14:paraId="44D21716" w14:textId="77777777" w:rsidR="00983AE6" w:rsidRPr="00A8563E" w:rsidRDefault="00983AE6" w:rsidP="00983AE6">
      <w:pPr>
        <w:pStyle w:val="alphabetpoint"/>
      </w:pPr>
      <w:r w:rsidRPr="00A8563E">
        <w:t>a communication strategy between the approved course provider and the third party</w:t>
      </w:r>
      <w:r>
        <w:t>.</w:t>
      </w:r>
    </w:p>
    <w:p w14:paraId="4ACC8374" w14:textId="77777777" w:rsidR="00AB5285" w:rsidRDefault="00983AE6" w:rsidP="00983AE6">
      <w:r w:rsidRPr="0095366D">
        <w:t>This information may be provided in the correspondence with the Secretary. Copies of agreements need not be sent with the application, but may be requested by the department during the assessment process.</w:t>
      </w:r>
    </w:p>
    <w:p w14:paraId="22DBD887" w14:textId="77777777" w:rsidR="00983AE6" w:rsidRPr="00A8563E" w:rsidRDefault="00983AE6" w:rsidP="00983AE6">
      <w:pPr>
        <w:pStyle w:val="numberpoint"/>
      </w:pPr>
      <w:r w:rsidRPr="00A8563E">
        <w:t>an explanation as to why the nominated third party cannot</w:t>
      </w:r>
      <w:r w:rsidR="00375A0A">
        <w:t xml:space="preserve"> become an approved VET Student </w:t>
      </w:r>
      <w:r w:rsidRPr="00A8563E">
        <w:t>Loans provider or become TESQA approved, for example, the third party</w:t>
      </w:r>
    </w:p>
    <w:p w14:paraId="670E6F49" w14:textId="77777777" w:rsidR="00983AE6" w:rsidRPr="00A8563E" w:rsidRDefault="00983AE6" w:rsidP="00A0727A">
      <w:pPr>
        <w:pStyle w:val="alphabetpoint"/>
        <w:numPr>
          <w:ilvl w:val="0"/>
          <w:numId w:val="70"/>
        </w:numPr>
      </w:pPr>
      <w:r w:rsidRPr="00A8563E">
        <w:t>operates as a trust</w:t>
      </w:r>
    </w:p>
    <w:p w14:paraId="2FD01EDC" w14:textId="77777777" w:rsidR="00983AE6" w:rsidRPr="00A8563E" w:rsidRDefault="00983AE6" w:rsidP="00983AE6">
      <w:pPr>
        <w:pStyle w:val="alphabetpoint"/>
      </w:pPr>
      <w:r w:rsidRPr="00A8563E">
        <w:t xml:space="preserve">is not an RTO, </w:t>
      </w:r>
      <w:r w:rsidRPr="00A8563E">
        <w:rPr>
          <w:b/>
        </w:rPr>
        <w:t>or</w:t>
      </w:r>
    </w:p>
    <w:p w14:paraId="5E3CA181" w14:textId="77777777" w:rsidR="00983AE6" w:rsidRDefault="00983AE6" w:rsidP="00983AE6">
      <w:pPr>
        <w:pStyle w:val="alphabetpoint"/>
      </w:pPr>
      <w:r w:rsidRPr="00A8563E">
        <w:t xml:space="preserve">has insufficient trading history. </w:t>
      </w:r>
    </w:p>
    <w:p w14:paraId="570CCBEC" w14:textId="77777777" w:rsidR="00983AE6" w:rsidRPr="00462ABE" w:rsidRDefault="00983AE6" w:rsidP="00983AE6">
      <w:pPr>
        <w:rPr>
          <w:rStyle w:val="Strong"/>
        </w:rPr>
      </w:pPr>
      <w:r w:rsidRPr="00462ABE">
        <w:rPr>
          <w:rStyle w:val="Strong"/>
        </w:rPr>
        <w:t>All five elements in Part A must be addressed.</w:t>
      </w:r>
    </w:p>
    <w:p w14:paraId="20F7F274" w14:textId="77777777" w:rsidR="00983AE6" w:rsidRPr="00E00B19" w:rsidRDefault="00983AE6" w:rsidP="008224D7">
      <w:pPr>
        <w:pStyle w:val="Heading5"/>
      </w:pPr>
      <w:r w:rsidRPr="00E00B19">
        <w:t>Part B – Listed providers</w:t>
      </w:r>
    </w:p>
    <w:p w14:paraId="6F1BED4E" w14:textId="41ECFCBB" w:rsidR="00572ACF" w:rsidRDefault="00983AE6" w:rsidP="00CF1822">
      <w:pPr>
        <w:rPr>
          <w:rFonts w:ascii="Calibri" w:eastAsiaTheme="majorEastAsia" w:hAnsi="Calibri" w:cstheme="majorBidi"/>
          <w:b/>
          <w:bCs/>
          <w:i/>
          <w:iCs/>
        </w:rPr>
      </w:pPr>
      <w:r w:rsidRPr="00E00B19">
        <w:t xml:space="preserve">Where all elements in Part A have been satisfied and the approved course provider is a </w:t>
      </w:r>
      <w:r w:rsidR="00243258" w:rsidRPr="00E00B19">
        <w:t xml:space="preserve">Listed </w:t>
      </w:r>
      <w:r w:rsidR="00243258">
        <w:t xml:space="preserve">Course </w:t>
      </w:r>
      <w:r w:rsidR="00243258" w:rsidRPr="00E00B19">
        <w:t>Provider</w:t>
      </w:r>
      <w:r w:rsidRPr="00E00B19">
        <w:t xml:space="preserve">, </w:t>
      </w:r>
      <w:r>
        <w:t>the proposed third party arrangement will generally satisfy</w:t>
      </w:r>
      <w:r w:rsidRPr="00E00B19">
        <w:t xml:space="preserve"> the requirements in this procedure for approval of a third party arrangement under subparagraph 15(1)(b)(iii) of the Act, provided that none of the criteria at Part D apply.</w:t>
      </w:r>
      <w:r>
        <w:t xml:space="preserve"> </w:t>
      </w:r>
    </w:p>
    <w:p w14:paraId="1D6BA952" w14:textId="77777777" w:rsidR="00983AE6" w:rsidRPr="00A8563E" w:rsidRDefault="00983AE6" w:rsidP="008224D7">
      <w:pPr>
        <w:pStyle w:val="Heading5"/>
      </w:pPr>
      <w:r w:rsidRPr="00A8563E">
        <w:t>Part C - Contributing factors (private approved course providers)</w:t>
      </w:r>
    </w:p>
    <w:p w14:paraId="464B7C7D" w14:textId="1F8C4986" w:rsidR="00983AE6" w:rsidRPr="00A8563E" w:rsidRDefault="00983AE6" w:rsidP="00983AE6">
      <w:r w:rsidRPr="00A8563E">
        <w:t>The application must include an explanation as to why the unit, part of a unit, course or part of a course cannot be delivered by</w:t>
      </w:r>
      <w:r>
        <w:t xml:space="preserve"> the approved course provider or</w:t>
      </w:r>
      <w:r w:rsidRPr="00A8563E">
        <w:t xml:space="preserve"> any other approved course provider. </w:t>
      </w:r>
      <w:r>
        <w:t>The explanation must include, for example</w:t>
      </w:r>
      <w:r w:rsidR="000E4F9A">
        <w:t>,</w:t>
      </w:r>
      <w:r>
        <w:t xml:space="preserve"> </w:t>
      </w:r>
      <w:r w:rsidRPr="00A8563E">
        <w:t>the circumstances listed below:</w:t>
      </w:r>
    </w:p>
    <w:p w14:paraId="58F3AF1C" w14:textId="707B9745" w:rsidR="00983AE6" w:rsidRPr="00A8563E" w:rsidRDefault="000E4F9A" w:rsidP="00983AE6">
      <w:pPr>
        <w:pStyle w:val="numberpoint"/>
        <w:numPr>
          <w:ilvl w:val="0"/>
          <w:numId w:val="30"/>
        </w:numPr>
      </w:pPr>
      <w:r>
        <w:t xml:space="preserve">there is </w:t>
      </w:r>
      <w:r w:rsidR="00983AE6">
        <w:t>n</w:t>
      </w:r>
      <w:r w:rsidR="00983AE6" w:rsidRPr="00A8563E">
        <w:t>o approved course provider in a particular geographic location whether the location is regional, rural, remote or interstate of the course provider.</w:t>
      </w:r>
    </w:p>
    <w:p w14:paraId="1791AE00" w14:textId="77777777" w:rsidR="00983AE6" w:rsidRPr="00A8563E" w:rsidRDefault="00983AE6" w:rsidP="00983AE6">
      <w:pPr>
        <w:pStyle w:val="numberpoint"/>
      </w:pPr>
      <w:r>
        <w:t>f</w:t>
      </w:r>
      <w:r w:rsidRPr="00A8563E">
        <w:t>or whatever reason the expertise required to deliver a unit, part of a unit, course or part of a course is not present at the approved course provider.</w:t>
      </w:r>
    </w:p>
    <w:p w14:paraId="4ACCEDE5" w14:textId="77777777" w:rsidR="00983AE6" w:rsidRPr="00A8563E" w:rsidRDefault="00983AE6" w:rsidP="00983AE6">
      <w:pPr>
        <w:pStyle w:val="numberpoint"/>
      </w:pPr>
      <w:r>
        <w:t>a</w:t>
      </w:r>
      <w:r w:rsidRPr="00A8563E">
        <w:t xml:space="preserve"> student wishes to include in their course a particular elective included in the relevant training package that is not offered by the approved course provider or at any other approved course provider.</w:t>
      </w:r>
    </w:p>
    <w:p w14:paraId="32CF575D" w14:textId="77777777" w:rsidR="00983AE6" w:rsidRPr="00A8563E" w:rsidRDefault="00983AE6" w:rsidP="00983AE6">
      <w:pPr>
        <w:pStyle w:val="numberpoint"/>
      </w:pPr>
      <w:r>
        <w:t>i</w:t>
      </w:r>
      <w:r w:rsidRPr="00A8563E">
        <w:t>n order to accommodate student demand, the approved course provider chooses to outsource a course but no other approved course provider in the vicinity offers the course in question.</w:t>
      </w:r>
    </w:p>
    <w:p w14:paraId="57575736" w14:textId="77777777" w:rsidR="00983AE6" w:rsidRPr="00A8563E" w:rsidRDefault="00983AE6" w:rsidP="00983AE6">
      <w:pPr>
        <w:pStyle w:val="numberpoint"/>
      </w:pPr>
      <w:r>
        <w:t>o</w:t>
      </w:r>
      <w:r w:rsidRPr="00A8563E">
        <w:t>wnership relationship/arrangements exist between the third party and the approved course provider.</w:t>
      </w:r>
    </w:p>
    <w:p w14:paraId="4CB996F2" w14:textId="77777777" w:rsidR="00983AE6" w:rsidRPr="00A8563E" w:rsidRDefault="00983AE6" w:rsidP="008224D7">
      <w:pPr>
        <w:pStyle w:val="Heading5"/>
      </w:pPr>
      <w:r w:rsidRPr="00A8563E">
        <w:lastRenderedPageBreak/>
        <w:t>Part D –approved course provider behaviour</w:t>
      </w:r>
    </w:p>
    <w:p w14:paraId="06E0A413" w14:textId="3BA1ED38" w:rsidR="00983AE6" w:rsidRPr="00A8563E" w:rsidRDefault="00983AE6" w:rsidP="00983AE6">
      <w:r w:rsidRPr="00A8563E">
        <w:t xml:space="preserve">Notwithstanding </w:t>
      </w:r>
      <w:r>
        <w:t>whether</w:t>
      </w:r>
      <w:r w:rsidRPr="00A8563E">
        <w:t xml:space="preserve"> the requir</w:t>
      </w:r>
      <w:r w:rsidR="000E4F9A">
        <w:t>ements under Part A, Part B and/</w:t>
      </w:r>
      <w:r w:rsidRPr="00A8563E">
        <w:t>or Part C</w:t>
      </w:r>
      <w:r>
        <w:t xml:space="preserve"> have been met</w:t>
      </w:r>
      <w:r w:rsidRPr="00A8563E">
        <w:t>, the delegate may ‘not approve’ an application by an approved course provider if any of the following apply.</w:t>
      </w:r>
    </w:p>
    <w:p w14:paraId="73031E6D" w14:textId="77777777" w:rsidR="00983AE6" w:rsidRPr="00A8563E" w:rsidRDefault="00983AE6" w:rsidP="00983AE6">
      <w:r w:rsidRPr="00A8563E">
        <w:t>The approved course provider:</w:t>
      </w:r>
    </w:p>
    <w:p w14:paraId="59B33E45" w14:textId="77777777" w:rsidR="00983AE6" w:rsidRPr="00A8563E" w:rsidRDefault="00983AE6" w:rsidP="00A0727A">
      <w:pPr>
        <w:pStyle w:val="numberpoint"/>
        <w:numPr>
          <w:ilvl w:val="0"/>
          <w:numId w:val="57"/>
        </w:numPr>
      </w:pPr>
      <w:r w:rsidRPr="00A8563E">
        <w:t>does not deliver itself any of the approved courses on its scope of registration</w:t>
      </w:r>
    </w:p>
    <w:p w14:paraId="4C68D4E0" w14:textId="5647808E" w:rsidR="00983AE6" w:rsidRPr="00A8563E" w:rsidRDefault="000E4F9A" w:rsidP="005E2B76">
      <w:pPr>
        <w:pStyle w:val="numberpoint"/>
      </w:pPr>
      <w:r>
        <w:t>h</w:t>
      </w:r>
      <w:r w:rsidR="00983AE6" w:rsidRPr="00A8563E">
        <w:t xml:space="preserve">as the outcome of an audit by either the Department </w:t>
      </w:r>
      <w:r w:rsidR="00983AE6">
        <w:t>ASQA</w:t>
      </w:r>
      <w:r w:rsidR="00983AE6" w:rsidRPr="00A8563E">
        <w:t xml:space="preserve"> pending</w:t>
      </w:r>
    </w:p>
    <w:p w14:paraId="6CBB8038" w14:textId="77777777" w:rsidR="00983AE6" w:rsidRPr="00A8563E" w:rsidRDefault="00983AE6" w:rsidP="005E2B76">
      <w:pPr>
        <w:pStyle w:val="numberpoint"/>
      </w:pPr>
      <w:r w:rsidRPr="00A8563E">
        <w:t xml:space="preserve">has received an adverse finding following an audit by the department or ASQA </w:t>
      </w:r>
    </w:p>
    <w:p w14:paraId="7032E54B" w14:textId="77777777" w:rsidR="00983AE6" w:rsidRPr="00A8563E" w:rsidRDefault="00983AE6" w:rsidP="005E2B76">
      <w:pPr>
        <w:pStyle w:val="numberpoint"/>
      </w:pPr>
      <w:r w:rsidRPr="00A8563E">
        <w:t>is subject to investigation by any state, territor</w:t>
      </w:r>
      <w:r>
        <w:t>y or Federal Government agency</w:t>
      </w:r>
    </w:p>
    <w:p w14:paraId="6B935F50" w14:textId="77777777" w:rsidR="00983AE6" w:rsidRPr="00A8563E" w:rsidRDefault="00983AE6" w:rsidP="005E2B76">
      <w:pPr>
        <w:pStyle w:val="numberpoint"/>
      </w:pPr>
      <w:r w:rsidRPr="00A8563E">
        <w:t>any other matter that the delegate considers relevant where the approval of the application would be inappropriate.</w:t>
      </w:r>
    </w:p>
    <w:p w14:paraId="0FBC5DA7" w14:textId="77777777" w:rsidR="00983AE6" w:rsidRPr="00EA0DA9" w:rsidRDefault="00983AE6" w:rsidP="00983AE6">
      <w:pPr>
        <w:rPr>
          <w:rStyle w:val="Strong"/>
        </w:rPr>
      </w:pPr>
      <w:r w:rsidRPr="00EA0DA9">
        <w:rPr>
          <w:rStyle w:val="Strong"/>
        </w:rPr>
        <w:t>Refusal to approve a third party agreement is not a reviewable decision.</w:t>
      </w:r>
    </w:p>
    <w:p w14:paraId="48617E33" w14:textId="77777777" w:rsidR="00983AE6" w:rsidRDefault="00983AE6" w:rsidP="00983AE6">
      <w:r w:rsidRPr="00736F23">
        <w:t xml:space="preserve">Applications must </w:t>
      </w:r>
      <w:r>
        <w:t>be uploaded to HITS.</w:t>
      </w:r>
      <w:r w:rsidRPr="00475C7A">
        <w:t xml:space="preserve"> See the chapter on ‘Uploading a Document’ in the </w:t>
      </w:r>
      <w:hyperlink r:id="rId66" w:history="1">
        <w:r w:rsidRPr="00EA0DA9">
          <w:rPr>
            <w:rStyle w:val="Strong"/>
          </w:rPr>
          <w:t>HITS User Guide</w:t>
        </w:r>
      </w:hyperlink>
      <w:r w:rsidRPr="00475C7A">
        <w:rPr>
          <w:i/>
        </w:rPr>
        <w:t xml:space="preserve"> </w:t>
      </w:r>
      <w:r w:rsidRPr="00475C7A">
        <w:t>for further information</w:t>
      </w:r>
      <w:r>
        <w:t>.</w:t>
      </w:r>
    </w:p>
    <w:p w14:paraId="5F333CA6" w14:textId="77777777" w:rsidR="004C64FE" w:rsidRDefault="00983AE6" w:rsidP="004C64FE">
      <w:r>
        <w:t xml:space="preserve">The provider must alert the department to its application </w:t>
      </w:r>
      <w:r w:rsidR="004C64FE" w:rsidRPr="00B72119">
        <w:t xml:space="preserve">by </w:t>
      </w:r>
      <w:r w:rsidR="004C64FE">
        <w:t>accessing the p</w:t>
      </w:r>
      <w:r w:rsidR="004C64FE" w:rsidRPr="00E03E53">
        <w:t xml:space="preserve">rovider online enquiry form at </w:t>
      </w:r>
      <w:hyperlink r:id="rId67" w:history="1">
        <w:r w:rsidR="004C64FE" w:rsidRPr="000C58DC">
          <w:rPr>
            <w:rStyle w:val="Hyperlink"/>
          </w:rPr>
          <w:t>www.education.gov.au/information-vet-student-loans-approved-providers</w:t>
        </w:r>
      </w:hyperlink>
      <w:r w:rsidR="004C64FE">
        <w:t>.</w:t>
      </w:r>
    </w:p>
    <w:p w14:paraId="4BAA8924" w14:textId="77777777" w:rsidR="004C64FE" w:rsidRDefault="004C64FE" w:rsidP="004C64FE">
      <w:r>
        <w:t>Under ‘Frequently asked questions’ scroll to the last option on the list (‘Click here if you still need help’), then choose ‘New VET Student Loans’ from the drop down list and then choose ‘Other’. Insert in the enquiry text field:</w:t>
      </w:r>
    </w:p>
    <w:p w14:paraId="685C05F0" w14:textId="6544D666" w:rsidR="000C58DC" w:rsidRDefault="004C64FE" w:rsidP="000C58DC">
      <w:r w:rsidRPr="00EA0DA9">
        <w:rPr>
          <w:rStyle w:val="Emphasis"/>
        </w:rPr>
        <w:t xml:space="preserve">Application – </w:t>
      </w:r>
      <w:r w:rsidR="00DB1CCE">
        <w:rPr>
          <w:rStyle w:val="Emphasis"/>
        </w:rPr>
        <w:t>TPA</w:t>
      </w:r>
      <w:r>
        <w:rPr>
          <w:rStyle w:val="Emphasis"/>
        </w:rPr>
        <w:t xml:space="preserve"> approval</w:t>
      </w:r>
      <w:r w:rsidR="000E4F9A">
        <w:rPr>
          <w:rStyle w:val="Emphasis"/>
        </w:rPr>
        <w:t xml:space="preserve"> request </w:t>
      </w:r>
      <w:r w:rsidRPr="00EA0DA9">
        <w:rPr>
          <w:rStyle w:val="Emphasis"/>
        </w:rPr>
        <w:t>- [provider name]</w:t>
      </w:r>
    </w:p>
    <w:p w14:paraId="59BA4A6F" w14:textId="13E55FA6" w:rsidR="00983AE6" w:rsidRPr="00736F23" w:rsidRDefault="00E56063" w:rsidP="00983AE6">
      <w:pPr>
        <w:pStyle w:val="Heading2"/>
      </w:pPr>
      <w:bookmarkStart w:id="762" w:name="_Toc501621208"/>
      <w:r>
        <w:t>4.7 Student</w:t>
      </w:r>
      <w:r w:rsidR="00983AE6" w:rsidRPr="00736F23">
        <w:t xml:space="preserve"> administration</w:t>
      </w:r>
      <w:bookmarkEnd w:id="762"/>
    </w:p>
    <w:p w14:paraId="5AC65CAA" w14:textId="77777777" w:rsidR="000B3602" w:rsidRDefault="000B3602" w:rsidP="000B3602">
      <w:r w:rsidRPr="00736F23">
        <w:t>This section provides information regarding the obligations on providers for managing students’ access to VET Student Loans including:</w:t>
      </w:r>
    </w:p>
    <w:p w14:paraId="06DDC585" w14:textId="77777777" w:rsidR="000B3602" w:rsidRPr="00560060" w:rsidRDefault="000B3602" w:rsidP="000B3602">
      <w:pPr>
        <w:tabs>
          <w:tab w:val="left" w:pos="567"/>
          <w:tab w:val="left" w:pos="4536"/>
        </w:tabs>
        <w:spacing w:after="0" w:line="360" w:lineRule="auto"/>
      </w:pPr>
      <w:r w:rsidRPr="00560060">
        <w:tab/>
      </w:r>
      <w:hyperlink w:anchor="_Eligibility" w:history="1">
        <w:r>
          <w:rPr>
            <w:rStyle w:val="Hyperlink"/>
          </w:rPr>
          <w:t>E</w:t>
        </w:r>
        <w:r w:rsidRPr="00560060">
          <w:rPr>
            <w:rStyle w:val="Hyperlink"/>
          </w:rPr>
          <w:t>ligibility</w:t>
        </w:r>
      </w:hyperlink>
      <w:r w:rsidRPr="00560060">
        <w:tab/>
      </w:r>
      <w:hyperlink w:anchor="_Determining_genuine_students" w:history="1">
        <w:r>
          <w:rPr>
            <w:rStyle w:val="Hyperlink"/>
          </w:rPr>
          <w:t>D</w:t>
        </w:r>
        <w:r w:rsidRPr="00560060">
          <w:rPr>
            <w:rStyle w:val="Hyperlink"/>
          </w:rPr>
          <w:t>etermining genuine students</w:t>
        </w:r>
      </w:hyperlink>
    </w:p>
    <w:p w14:paraId="04EF380B" w14:textId="77777777" w:rsidR="000B3602" w:rsidRPr="00560060" w:rsidRDefault="000B3602" w:rsidP="000B3602">
      <w:pPr>
        <w:tabs>
          <w:tab w:val="left" w:pos="567"/>
          <w:tab w:val="left" w:pos="4536"/>
        </w:tabs>
        <w:spacing w:after="0" w:line="360" w:lineRule="auto"/>
      </w:pPr>
      <w:r w:rsidRPr="00560060">
        <w:tab/>
      </w:r>
      <w:hyperlink w:anchor="_Toc471374440" w:history="1">
        <w:r>
          <w:rPr>
            <w:rStyle w:val="Hyperlink"/>
          </w:rPr>
          <w:t>T</w:t>
        </w:r>
        <w:r w:rsidRPr="00560060">
          <w:rPr>
            <w:rStyle w:val="Hyperlink"/>
          </w:rPr>
          <w:t>uition and other fees</w:t>
        </w:r>
      </w:hyperlink>
      <w:r w:rsidRPr="00560060">
        <w:tab/>
      </w:r>
      <w:hyperlink w:anchor="_Marketing" w:history="1">
        <w:r>
          <w:rPr>
            <w:rStyle w:val="Hyperlink"/>
          </w:rPr>
          <w:t>M</w:t>
        </w:r>
        <w:r w:rsidRPr="00560060">
          <w:rPr>
            <w:rStyle w:val="Hyperlink"/>
          </w:rPr>
          <w:t>arketing</w:t>
        </w:r>
      </w:hyperlink>
    </w:p>
    <w:p w14:paraId="68459E5D" w14:textId="77777777" w:rsidR="000B3602" w:rsidRPr="00560060" w:rsidRDefault="000B3602" w:rsidP="000B3602">
      <w:pPr>
        <w:tabs>
          <w:tab w:val="left" w:pos="567"/>
          <w:tab w:val="left" w:pos="4536"/>
        </w:tabs>
        <w:spacing w:after="0" w:line="360" w:lineRule="auto"/>
      </w:pPr>
      <w:r w:rsidRPr="00560060">
        <w:tab/>
      </w:r>
      <w:hyperlink w:anchor="_Processes_and_procedures_3" w:history="1">
        <w:r>
          <w:rPr>
            <w:rStyle w:val="Hyperlink"/>
          </w:rPr>
          <w:t>M</w:t>
        </w:r>
        <w:r w:rsidRPr="00560060">
          <w:rPr>
            <w:rStyle w:val="Hyperlink"/>
          </w:rPr>
          <w:t>anaging student complaints</w:t>
        </w:r>
      </w:hyperlink>
      <w:r w:rsidRPr="00560060">
        <w:tab/>
      </w:r>
      <w:hyperlink w:anchor="_Providing_fee_information" w:history="1">
        <w:r>
          <w:rPr>
            <w:rStyle w:val="Hyperlink"/>
          </w:rPr>
          <w:t>P</w:t>
        </w:r>
        <w:r w:rsidRPr="00560060">
          <w:rPr>
            <w:rStyle w:val="Hyperlink"/>
          </w:rPr>
          <w:t>rovision of information</w:t>
        </w:r>
      </w:hyperlink>
    </w:p>
    <w:p w14:paraId="51D9419B" w14:textId="77777777" w:rsidR="000B3602" w:rsidRPr="00560060" w:rsidRDefault="000B3602" w:rsidP="000B3602">
      <w:pPr>
        <w:tabs>
          <w:tab w:val="left" w:pos="567"/>
          <w:tab w:val="left" w:pos="4536"/>
        </w:tabs>
        <w:spacing w:after="0" w:line="360" w:lineRule="auto"/>
      </w:pPr>
      <w:r w:rsidRPr="00560060">
        <w:tab/>
      </w:r>
      <w:hyperlink w:anchor="_Processes__and" w:history="1">
        <w:r>
          <w:rPr>
            <w:rStyle w:val="Hyperlink"/>
          </w:rPr>
          <w:t>R</w:t>
        </w:r>
        <w:r w:rsidRPr="00560060">
          <w:rPr>
            <w:rStyle w:val="Hyperlink"/>
          </w:rPr>
          <w:t>e-crediting a FEE-HELP balance</w:t>
        </w:r>
      </w:hyperlink>
      <w:r w:rsidRPr="00560060">
        <w:tab/>
      </w:r>
      <w:hyperlink w:anchor="_Data_reporting" w:history="1">
        <w:r>
          <w:rPr>
            <w:rStyle w:val="Hyperlink"/>
          </w:rPr>
          <w:t>D</w:t>
        </w:r>
        <w:r w:rsidRPr="00560060">
          <w:rPr>
            <w:rStyle w:val="Hyperlink"/>
          </w:rPr>
          <w:t>ata reporting</w:t>
        </w:r>
      </w:hyperlink>
    </w:p>
    <w:p w14:paraId="16B6BFC3" w14:textId="77777777" w:rsidR="000B3602" w:rsidRPr="00560060" w:rsidRDefault="000B3602" w:rsidP="000B3602">
      <w:pPr>
        <w:tabs>
          <w:tab w:val="left" w:pos="567"/>
          <w:tab w:val="left" w:pos="4536"/>
        </w:tabs>
        <w:spacing w:after="0" w:line="360" w:lineRule="auto"/>
      </w:pPr>
      <w:r w:rsidRPr="00560060">
        <w:tab/>
      </w:r>
      <w:hyperlink w:anchor="_Toc471300329" w:history="1">
        <w:r>
          <w:rPr>
            <w:rStyle w:val="Hyperlink"/>
          </w:rPr>
          <w:t>C</w:t>
        </w:r>
        <w:r w:rsidRPr="00560060">
          <w:rPr>
            <w:rStyle w:val="Hyperlink"/>
          </w:rPr>
          <w:t>ensus days</w:t>
        </w:r>
      </w:hyperlink>
    </w:p>
    <w:p w14:paraId="7BE75741" w14:textId="77777777" w:rsidR="00983AE6" w:rsidRPr="000F1AC5" w:rsidRDefault="00983AE6" w:rsidP="00983AE6">
      <w:pPr>
        <w:pStyle w:val="Heading3"/>
      </w:pPr>
      <w:bookmarkStart w:id="763" w:name="_4.7.1__"/>
      <w:bookmarkStart w:id="764" w:name="_Eligibility"/>
      <w:bookmarkStart w:id="765" w:name="_Toc471374370"/>
      <w:bookmarkStart w:id="766" w:name="_Toc483222838"/>
      <w:bookmarkStart w:id="767" w:name="_Toc501621209"/>
      <w:bookmarkEnd w:id="763"/>
      <w:bookmarkEnd w:id="764"/>
      <w:r w:rsidRPr="000F1AC5">
        <w:t>4.7.</w:t>
      </w:r>
      <w:r w:rsidR="002663D4">
        <w:t>1</w:t>
      </w:r>
      <w:r w:rsidR="002663D4" w:rsidRPr="000F1AC5">
        <w:t xml:space="preserve">   </w:t>
      </w:r>
      <w:r w:rsidRPr="000F1AC5">
        <w:t>Student eligibility</w:t>
      </w:r>
      <w:bookmarkEnd w:id="765"/>
      <w:r w:rsidRPr="000F1AC5">
        <w:t xml:space="preserve"> for VET Student L</w:t>
      </w:r>
      <w:bookmarkEnd w:id="766"/>
      <w:r w:rsidRPr="000F1AC5">
        <w:t>oans</w:t>
      </w:r>
      <w:bookmarkEnd w:id="767"/>
      <w:r w:rsidRPr="000F1AC5">
        <w:t xml:space="preserve"> </w:t>
      </w:r>
    </w:p>
    <w:p w14:paraId="750B5A63" w14:textId="77777777" w:rsidR="00B004A0" w:rsidRPr="00092EE5" w:rsidRDefault="00B004A0" w:rsidP="00B004A0">
      <w:bookmarkStart w:id="768" w:name="_Australian_citizens"/>
      <w:bookmarkStart w:id="769" w:name="_Toc462038563"/>
      <w:bookmarkStart w:id="770" w:name="_Toc471374372"/>
      <w:bookmarkStart w:id="771" w:name="_Toc481505196"/>
      <w:bookmarkStart w:id="772" w:name="_Toc483209510"/>
      <w:bookmarkStart w:id="773" w:name="_Toc483222839"/>
      <w:bookmarkEnd w:id="768"/>
      <w:r w:rsidRPr="00092EE5">
        <w:t>To be eligible for VET Student Loans, a student must</w:t>
      </w:r>
      <w:r w:rsidR="00B22BFF">
        <w:t xml:space="preserve"> meet the following requirements</w:t>
      </w:r>
      <w:r w:rsidRPr="00092EE5">
        <w:t>:</w:t>
      </w:r>
    </w:p>
    <w:p w14:paraId="010545C1" w14:textId="2EF6A08C" w:rsidR="00B004A0" w:rsidRPr="00092EE5" w:rsidRDefault="00B004A0" w:rsidP="0028499D">
      <w:pPr>
        <w:pStyle w:val="ListBullet"/>
        <w:spacing w:after="240"/>
        <w:ind w:left="357" w:hanging="357"/>
      </w:pPr>
      <w:r w:rsidRPr="00092EE5">
        <w:t xml:space="preserve">be studying an </w:t>
      </w:r>
      <w:hyperlink w:anchor="_Approved_courses" w:history="1">
        <w:r w:rsidRPr="000F1AC5">
          <w:rPr>
            <w:rStyle w:val="Strong"/>
          </w:rPr>
          <w:t>approved course</w:t>
        </w:r>
      </w:hyperlink>
      <w:r w:rsidRPr="000F1AC5">
        <w:rPr>
          <w:rStyle w:val="Strong"/>
        </w:rPr>
        <w:t xml:space="preserve"> </w:t>
      </w:r>
      <w:r w:rsidRPr="00A106F8">
        <w:rPr>
          <w:rStyle w:val="ReferenceChar"/>
        </w:rPr>
        <w:t>[</w:t>
      </w:r>
      <w:r w:rsidR="006E0F39">
        <w:rPr>
          <w:rStyle w:val="ReferenceChar"/>
        </w:rPr>
        <w:t>Act</w:t>
      </w:r>
      <w:r w:rsidR="006E0F39" w:rsidRPr="00A106F8">
        <w:rPr>
          <w:rStyle w:val="ReferenceChar"/>
        </w:rPr>
        <w:t xml:space="preserve"> </w:t>
      </w:r>
      <w:r w:rsidRPr="00A106F8">
        <w:rPr>
          <w:rStyle w:val="ReferenceChar"/>
        </w:rPr>
        <w:t>s 10</w:t>
      </w:r>
      <w:r w:rsidR="006E0F39">
        <w:rPr>
          <w:rStyle w:val="ReferenceChar"/>
        </w:rPr>
        <w:t>(1)(a); 7(1)(b)</w:t>
      </w:r>
      <w:r w:rsidRPr="00A106F8">
        <w:rPr>
          <w:rStyle w:val="ReferenceChar"/>
        </w:rPr>
        <w:t>]</w:t>
      </w:r>
    </w:p>
    <w:p w14:paraId="4251B3D0" w14:textId="77777777" w:rsidR="00B004A0" w:rsidRPr="00092EE5" w:rsidRDefault="00B004A0" w:rsidP="00B004A0">
      <w:pPr>
        <w:pStyle w:val="ListBullet"/>
      </w:pPr>
      <w:r w:rsidRPr="00092EE5">
        <w:t xml:space="preserve">be studying with an </w:t>
      </w:r>
      <w:r w:rsidRPr="000F1AC5">
        <w:rPr>
          <w:rStyle w:val="Strong"/>
        </w:rPr>
        <w:t>approved course provider</w:t>
      </w:r>
    </w:p>
    <w:p w14:paraId="536BFCF7" w14:textId="77777777" w:rsidR="00B004A0" w:rsidRPr="00092EE5" w:rsidRDefault="00B004A0" w:rsidP="00B004A0">
      <w:pPr>
        <w:pStyle w:val="ListBullet"/>
      </w:pPr>
      <w:r w:rsidRPr="00092EE5">
        <w:t xml:space="preserve">apply to the government using the </w:t>
      </w:r>
      <w:hyperlink w:anchor="_Processes_and_procedures_1" w:history="1">
        <w:r w:rsidRPr="000F1AC5">
          <w:rPr>
            <w:rStyle w:val="Strong"/>
          </w:rPr>
          <w:t>approved form</w:t>
        </w:r>
      </w:hyperlink>
      <w:r>
        <w:t xml:space="preserve"> and include all relevant information </w:t>
      </w:r>
      <w:r w:rsidRPr="00E91C95">
        <w:rPr>
          <w:rStyle w:val="ReferenceChar"/>
        </w:rPr>
        <w:t>[Act</w:t>
      </w:r>
      <w:r>
        <w:rPr>
          <w:rStyle w:val="ReferenceChar"/>
        </w:rPr>
        <w:t> </w:t>
      </w:r>
      <w:r w:rsidRPr="00E91C95">
        <w:rPr>
          <w:rStyle w:val="ReferenceChar"/>
        </w:rPr>
        <w:t>Part</w:t>
      </w:r>
      <w:r>
        <w:rPr>
          <w:rStyle w:val="ReferenceChar"/>
        </w:rPr>
        <w:t> </w:t>
      </w:r>
      <w:r w:rsidRPr="00E91C95">
        <w:rPr>
          <w:rStyle w:val="ReferenceChar"/>
        </w:rPr>
        <w:t>2,</w:t>
      </w:r>
      <w:r>
        <w:rPr>
          <w:rStyle w:val="ReferenceChar"/>
        </w:rPr>
        <w:t> </w:t>
      </w:r>
      <w:r w:rsidRPr="00E91C95">
        <w:rPr>
          <w:rStyle w:val="ReferenceChar"/>
        </w:rPr>
        <w:t>Division</w:t>
      </w:r>
      <w:r>
        <w:rPr>
          <w:rStyle w:val="ReferenceChar"/>
        </w:rPr>
        <w:t> </w:t>
      </w:r>
      <w:r w:rsidRPr="00E91C95">
        <w:rPr>
          <w:rStyle w:val="ReferenceChar"/>
        </w:rPr>
        <w:t>4]</w:t>
      </w:r>
    </w:p>
    <w:p w14:paraId="70D48331" w14:textId="77777777" w:rsidR="00B004A0" w:rsidRDefault="00B004A0" w:rsidP="00B004A0">
      <w:pPr>
        <w:pStyle w:val="ListBullet"/>
      </w:pPr>
      <w:r w:rsidRPr="00092EE5">
        <w:t xml:space="preserve">confirm </w:t>
      </w:r>
      <w:r>
        <w:t>his or her</w:t>
      </w:r>
      <w:r w:rsidRPr="00092EE5">
        <w:t xml:space="preserve"> engagement and progression to continue to access the loan throughout </w:t>
      </w:r>
      <w:r>
        <w:t>the</w:t>
      </w:r>
      <w:r w:rsidRPr="00092EE5">
        <w:t xml:space="preserve"> course</w:t>
      </w:r>
      <w:r>
        <w:t>, when required to do so by the Department</w:t>
      </w:r>
    </w:p>
    <w:p w14:paraId="23B9EB7C" w14:textId="0F785188" w:rsidR="00B004A0" w:rsidRDefault="00001A2B" w:rsidP="00B004A0">
      <w:pPr>
        <w:pStyle w:val="ListBullet"/>
      </w:pPr>
      <w:r>
        <w:t>has</w:t>
      </w:r>
      <w:r w:rsidR="00B004A0" w:rsidRPr="00B356CA">
        <w:t xml:space="preserve"> a </w:t>
      </w:r>
      <w:hyperlink w:anchor="_FEE-HELP_balance" w:history="1">
        <w:r w:rsidR="00B004A0" w:rsidRPr="00B356CA">
          <w:t>FEE-HELP balance</w:t>
        </w:r>
      </w:hyperlink>
      <w:r w:rsidR="00B004A0" w:rsidRPr="00092EE5">
        <w:t xml:space="preserve"> that is more than $0 </w:t>
      </w:r>
      <w:r>
        <w:t>(ie has not used all their FEE-HELP limit)</w:t>
      </w:r>
    </w:p>
    <w:p w14:paraId="2E8BB11D" w14:textId="0F1C5BA3" w:rsidR="00593F0F" w:rsidRPr="00B356CA" w:rsidRDefault="00593F0F" w:rsidP="0028499D">
      <w:pPr>
        <w:pStyle w:val="ListBullet"/>
        <w:spacing w:after="0"/>
        <w:ind w:left="357" w:hanging="357"/>
        <w:rPr>
          <w:rFonts w:eastAsiaTheme="minorHAnsi"/>
          <w:spacing w:val="1"/>
        </w:rPr>
      </w:pPr>
      <w:r w:rsidRPr="00B356CA">
        <w:t>meet the citizenship and residency requirements</w:t>
      </w:r>
      <w:r w:rsidR="00BC0EA7">
        <w:t xml:space="preserve"> </w:t>
      </w:r>
      <w:r w:rsidR="00BC0EA7" w:rsidRPr="00E91C95">
        <w:rPr>
          <w:rStyle w:val="ReferenceChar"/>
        </w:rPr>
        <w:t>[Act</w:t>
      </w:r>
      <w:r w:rsidR="00BC0EA7">
        <w:rPr>
          <w:rStyle w:val="ReferenceChar"/>
        </w:rPr>
        <w:t> s 11</w:t>
      </w:r>
      <w:r w:rsidR="00BC0EA7" w:rsidRPr="00E91C95">
        <w:rPr>
          <w:rStyle w:val="ReferenceChar"/>
        </w:rPr>
        <w:t>]</w:t>
      </w:r>
      <w:r w:rsidRPr="00B356CA">
        <w:t>:</w:t>
      </w:r>
    </w:p>
    <w:p w14:paraId="401680CC" w14:textId="20967BD2" w:rsidR="00593F0F" w:rsidRPr="00036D60" w:rsidRDefault="00593F0F" w:rsidP="00A0727A">
      <w:pPr>
        <w:pStyle w:val="ListBullet2"/>
        <w:numPr>
          <w:ilvl w:val="1"/>
          <w:numId w:val="32"/>
        </w:numPr>
        <w:rPr>
          <w:rFonts w:cstheme="minorHAnsi"/>
        </w:rPr>
      </w:pPr>
      <w:r w:rsidRPr="00036D60">
        <w:rPr>
          <w:rFonts w:cstheme="minorHAnsi"/>
        </w:rPr>
        <w:t xml:space="preserve">be an </w:t>
      </w:r>
      <w:hyperlink w:anchor="_Australian_citizens" w:history="1">
        <w:r w:rsidRPr="00036D60">
          <w:rPr>
            <w:rFonts w:cstheme="minorHAnsi"/>
          </w:rPr>
          <w:t>Australian citizen</w:t>
        </w:r>
      </w:hyperlink>
      <w:r>
        <w:rPr>
          <w:rFonts w:cstheme="minorHAnsi"/>
        </w:rPr>
        <w:t xml:space="preserve"> </w:t>
      </w:r>
      <w:r w:rsidRPr="00036D60">
        <w:rPr>
          <w:rFonts w:cstheme="minorHAnsi"/>
        </w:rPr>
        <w:t>or</w:t>
      </w:r>
      <w:r w:rsidR="005459A0">
        <w:rPr>
          <w:rFonts w:cstheme="minorHAnsi"/>
        </w:rPr>
        <w:t xml:space="preserve">  </w:t>
      </w:r>
    </w:p>
    <w:p w14:paraId="3A57F517" w14:textId="77777777" w:rsidR="00593F0F" w:rsidRPr="000F1AC5" w:rsidRDefault="00593F0F" w:rsidP="00A0727A">
      <w:pPr>
        <w:pStyle w:val="ListBullet2"/>
        <w:numPr>
          <w:ilvl w:val="1"/>
          <w:numId w:val="32"/>
        </w:numPr>
        <w:rPr>
          <w:rFonts w:cstheme="minorHAnsi"/>
        </w:rPr>
      </w:pPr>
      <w:r w:rsidRPr="000F1AC5">
        <w:rPr>
          <w:rFonts w:cstheme="minorHAnsi"/>
        </w:rPr>
        <w:t xml:space="preserve">a </w:t>
      </w:r>
      <w:hyperlink w:anchor="_Qualifying_New_Zealand" w:history="1">
        <w:r w:rsidRPr="000F1AC5">
          <w:rPr>
            <w:rFonts w:cstheme="minorHAnsi"/>
          </w:rPr>
          <w:t>qualifying New Zealand citizen</w:t>
        </w:r>
      </w:hyperlink>
      <w:r w:rsidRPr="000F1AC5">
        <w:rPr>
          <w:rFonts w:cstheme="minorHAnsi"/>
        </w:rPr>
        <w:t xml:space="preserve"> or </w:t>
      </w:r>
    </w:p>
    <w:p w14:paraId="5B624B2C" w14:textId="77777777" w:rsidR="00593F0F" w:rsidRDefault="00593F0F" w:rsidP="00A0727A">
      <w:pPr>
        <w:pStyle w:val="ListBullet2"/>
        <w:numPr>
          <w:ilvl w:val="1"/>
          <w:numId w:val="32"/>
        </w:numPr>
        <w:rPr>
          <w:rFonts w:cstheme="minorHAnsi"/>
        </w:rPr>
      </w:pPr>
      <w:r w:rsidRPr="000F1AC5">
        <w:rPr>
          <w:rFonts w:cstheme="minorHAnsi"/>
        </w:rPr>
        <w:lastRenderedPageBreak/>
        <w:t>a</w:t>
      </w:r>
      <w:r w:rsidRPr="000F1AC5">
        <w:rPr>
          <w:rStyle w:val="StrongcolorChar"/>
          <w:rFonts w:cstheme="minorHAnsi"/>
          <w:b w:val="0"/>
        </w:rPr>
        <w:t xml:space="preserve"> </w:t>
      </w:r>
      <w:hyperlink w:anchor="_Permanent_humanitarian_visa_1" w:history="1">
        <w:r w:rsidRPr="000F1AC5">
          <w:rPr>
            <w:rStyle w:val="Hyperlink"/>
          </w:rPr>
          <w:t>permanent humanitarian visa holder</w:t>
        </w:r>
      </w:hyperlink>
      <w:r w:rsidRPr="000F1AC5">
        <w:rPr>
          <w:rFonts w:cstheme="minorHAnsi"/>
        </w:rPr>
        <w:t>, who is usually resident in Australia.</w:t>
      </w:r>
    </w:p>
    <w:p w14:paraId="64EAAC53" w14:textId="77777777" w:rsidR="00593F0F" w:rsidRPr="00F73827" w:rsidRDefault="00593F0F" w:rsidP="00593F0F">
      <w:pPr>
        <w:pStyle w:val="ListBullet"/>
        <w:rPr>
          <w:rFonts w:cstheme="minorHAnsi"/>
        </w:rPr>
      </w:pPr>
      <w:r>
        <w:t xml:space="preserve">meet the academic suitability requirements: the student must </w:t>
      </w:r>
      <w:r w:rsidRPr="00F73827">
        <w:rPr>
          <w:rFonts w:cstheme="minorHAnsi"/>
        </w:rPr>
        <w:t xml:space="preserve">have been assessed by the </w:t>
      </w:r>
      <w:r w:rsidRPr="00B356CA">
        <w:t>approved course</w:t>
      </w:r>
      <w:r w:rsidRPr="00F73827">
        <w:rPr>
          <w:rFonts w:cstheme="minorHAnsi"/>
        </w:rPr>
        <w:t xml:space="preserve"> provider as </w:t>
      </w:r>
      <w:hyperlink w:anchor="_When_is_a" w:history="1">
        <w:r w:rsidRPr="00B356CA">
          <w:t>academically suited</w:t>
        </w:r>
      </w:hyperlink>
      <w:r w:rsidRPr="00F73827">
        <w:rPr>
          <w:rFonts w:cstheme="minorHAnsi"/>
        </w:rPr>
        <w:t xml:space="preserve"> to undertake the approved course on the basis of either </w:t>
      </w:r>
      <w:r w:rsidRPr="000F1AC5">
        <w:rPr>
          <w:rStyle w:val="ReferenceChar"/>
        </w:rPr>
        <w:t>[Rules s 80]</w:t>
      </w:r>
      <w:r w:rsidRPr="00F73827">
        <w:rPr>
          <w:rFonts w:cstheme="minorHAnsi"/>
        </w:rPr>
        <w:t>:</w:t>
      </w:r>
    </w:p>
    <w:p w14:paraId="19E1E816" w14:textId="77777777" w:rsidR="00593F0F" w:rsidRPr="00092EE5" w:rsidRDefault="00593F0F" w:rsidP="00A0727A">
      <w:pPr>
        <w:pStyle w:val="ListBullet"/>
        <w:numPr>
          <w:ilvl w:val="0"/>
          <w:numId w:val="33"/>
        </w:numPr>
        <w:ind w:hanging="294"/>
      </w:pPr>
      <w:r w:rsidRPr="00092EE5">
        <w:t xml:space="preserve">providing </w:t>
      </w:r>
      <w:r>
        <w:t>their</w:t>
      </w:r>
      <w:r w:rsidRPr="00092EE5">
        <w:t xml:space="preserve"> Australian Year 12 Certificate OR</w:t>
      </w:r>
    </w:p>
    <w:p w14:paraId="0A91581B" w14:textId="77777777" w:rsidR="00593F0F" w:rsidRPr="00092EE5" w:rsidRDefault="00593F0F" w:rsidP="00A0727A">
      <w:pPr>
        <w:pStyle w:val="ListBullet"/>
        <w:numPr>
          <w:ilvl w:val="0"/>
          <w:numId w:val="33"/>
        </w:numPr>
        <w:ind w:hanging="294"/>
      </w:pPr>
      <w:r w:rsidRPr="00092EE5">
        <w:t>providing evidence of successful completion of an Australian Qualifications Framework Certificate IV or higher qualification (where the language of instruction is English) OR</w:t>
      </w:r>
    </w:p>
    <w:p w14:paraId="04EDBB8F" w14:textId="0CF86BD1" w:rsidR="00593F0F" w:rsidRPr="00092EE5" w:rsidRDefault="00593F0F" w:rsidP="00A0727A">
      <w:pPr>
        <w:pStyle w:val="ListBullet"/>
        <w:numPr>
          <w:ilvl w:val="0"/>
          <w:numId w:val="33"/>
        </w:numPr>
        <w:ind w:hanging="294"/>
      </w:pPr>
      <w:r w:rsidRPr="00092EE5">
        <w:t xml:space="preserve">displaying competence at </w:t>
      </w:r>
      <w:r>
        <w:t xml:space="preserve">or above </w:t>
      </w:r>
      <w:r w:rsidRPr="00092EE5">
        <w:t>Exit Level 3 in the Australian Core Skills Framework in both reading and numeracy through an approved Language, Literacy and Numeracy test</w:t>
      </w:r>
      <w:r w:rsidR="00BC0EA7">
        <w:t xml:space="preserve"> </w:t>
      </w:r>
      <w:r>
        <w:t>(and the provider reasonably believes the student displays that competence) AND</w:t>
      </w:r>
    </w:p>
    <w:p w14:paraId="2F4115D2" w14:textId="4723F3CA" w:rsidR="00593F0F" w:rsidRDefault="00227F5B" w:rsidP="00A0727A">
      <w:pPr>
        <w:pStyle w:val="ListBullet"/>
        <w:numPr>
          <w:ilvl w:val="0"/>
          <w:numId w:val="33"/>
        </w:numPr>
        <w:ind w:hanging="294"/>
      </w:pPr>
      <w:r>
        <w:t>i</w:t>
      </w:r>
      <w:r w:rsidR="00593F0F" w:rsidRPr="00092EE5">
        <w:t xml:space="preserve">n addition, </w:t>
      </w:r>
      <w:r w:rsidR="00593F0F">
        <w:t>the</w:t>
      </w:r>
      <w:r w:rsidR="00593F0F" w:rsidRPr="00092EE5">
        <w:t xml:space="preserve"> approved course provider must reasonably believe </w:t>
      </w:r>
      <w:r w:rsidR="00593F0F">
        <w:t>the student</w:t>
      </w:r>
      <w:r w:rsidR="00593F0F" w:rsidRPr="00092EE5">
        <w:t xml:space="preserve"> </w:t>
      </w:r>
      <w:r w:rsidR="00593F0F">
        <w:t xml:space="preserve">is academically suited to under </w:t>
      </w:r>
      <w:r w:rsidR="00593F0F" w:rsidRPr="00092EE5">
        <w:t>the course</w:t>
      </w:r>
      <w:r w:rsidR="00593F0F">
        <w:t>; and the student must meet any other specified entry requirements for the course</w:t>
      </w:r>
    </w:p>
    <w:p w14:paraId="06C77113" w14:textId="77777777" w:rsidR="00B004A0" w:rsidRDefault="00B004A0" w:rsidP="00A0727A">
      <w:pPr>
        <w:pStyle w:val="ListBullet2"/>
        <w:numPr>
          <w:ilvl w:val="0"/>
          <w:numId w:val="32"/>
        </w:numPr>
        <w:rPr>
          <w:rFonts w:eastAsiaTheme="minorHAnsi"/>
          <w:spacing w:val="1"/>
        </w:rPr>
      </w:pPr>
      <w:r w:rsidRPr="000C5FCB">
        <w:rPr>
          <w:rFonts w:cstheme="minorHAnsi"/>
        </w:rPr>
        <w:t>meet</w:t>
      </w:r>
      <w:r>
        <w:rPr>
          <w:rFonts w:eastAsiaTheme="minorHAnsi"/>
          <w:spacing w:val="1"/>
        </w:rPr>
        <w:t xml:space="preserve"> the enrolment and loan application requirements:</w:t>
      </w:r>
    </w:p>
    <w:p w14:paraId="2C498E37" w14:textId="77777777" w:rsidR="00B004A0" w:rsidRDefault="00B004A0" w:rsidP="00A0727A">
      <w:pPr>
        <w:pStyle w:val="ListBullet2"/>
        <w:numPr>
          <w:ilvl w:val="1"/>
          <w:numId w:val="32"/>
        </w:numPr>
        <w:rPr>
          <w:rFonts w:cstheme="minorHAnsi"/>
        </w:rPr>
      </w:pPr>
      <w:r>
        <w:rPr>
          <w:rFonts w:cstheme="minorHAnsi"/>
        </w:rPr>
        <w:t xml:space="preserve">be enrolled </w:t>
      </w:r>
      <w:r w:rsidR="00B22BFF">
        <w:rPr>
          <w:rFonts w:cstheme="minorHAnsi"/>
        </w:rPr>
        <w:t xml:space="preserve">with an approved course provider </w:t>
      </w:r>
      <w:r>
        <w:rPr>
          <w:rFonts w:cstheme="minorHAnsi"/>
        </w:rPr>
        <w:t xml:space="preserve">in an approved course </w:t>
      </w:r>
    </w:p>
    <w:p w14:paraId="1CE1A32F" w14:textId="77777777" w:rsidR="00B004A0" w:rsidRDefault="00B004A0" w:rsidP="00A0727A">
      <w:pPr>
        <w:pStyle w:val="ListBullet2"/>
        <w:numPr>
          <w:ilvl w:val="1"/>
          <w:numId w:val="32"/>
        </w:numPr>
        <w:rPr>
          <w:rFonts w:cstheme="minorHAnsi"/>
        </w:rPr>
      </w:pPr>
      <w:r>
        <w:rPr>
          <w:rFonts w:cstheme="minorHAnsi"/>
        </w:rPr>
        <w:t>be undertaking the course primarily at a campus in Australia</w:t>
      </w:r>
    </w:p>
    <w:p w14:paraId="173DF554" w14:textId="77777777" w:rsidR="00B22BFF" w:rsidRDefault="00B22BFF" w:rsidP="00227F5B">
      <w:pPr>
        <w:pStyle w:val="ListParagraph"/>
        <w:ind w:left="993"/>
      </w:pPr>
      <w:r w:rsidRPr="00B22BFF">
        <w:rPr>
          <w:b/>
        </w:rPr>
        <w:t xml:space="preserve">NOTE: </w:t>
      </w:r>
      <w:r>
        <w:t xml:space="preserve">A </w:t>
      </w:r>
      <w:r w:rsidRPr="00736F23">
        <w:t>student is not entitled to a VET student loan if the course is undertaken by the student primarily at an overseas campus</w:t>
      </w:r>
      <w:r w:rsidRPr="00B22BFF">
        <w:rPr>
          <w:sz w:val="20"/>
        </w:rPr>
        <w:t xml:space="preserve"> </w:t>
      </w:r>
      <w:r w:rsidRPr="000F1AC5">
        <w:rPr>
          <w:rStyle w:val="ReferenceChar"/>
        </w:rPr>
        <w:t>[Act s 10(2)]</w:t>
      </w:r>
      <w:r w:rsidRPr="00B22BFF">
        <w:rPr>
          <w:lang w:val="en"/>
        </w:rPr>
        <w:t xml:space="preserve">. Similarly, </w:t>
      </w:r>
      <w:r w:rsidRPr="00736F23">
        <w:t>if the student intends on studying overseas via distance education for their entire course, they would not meet the requirement</w:t>
      </w:r>
      <w:r>
        <w:t xml:space="preserve"> to undertake the course primarily at an Australian campus.</w:t>
      </w:r>
    </w:p>
    <w:p w14:paraId="7E2333E8" w14:textId="77DD5E5D" w:rsidR="00B22BFF" w:rsidRPr="00154F73" w:rsidRDefault="00B004A0" w:rsidP="00A0727A">
      <w:pPr>
        <w:pStyle w:val="ListBullet2"/>
        <w:numPr>
          <w:ilvl w:val="1"/>
          <w:numId w:val="32"/>
        </w:numPr>
        <w:rPr>
          <w:rFonts w:cstheme="minorHAnsi"/>
        </w:rPr>
      </w:pPr>
      <w:r w:rsidRPr="00096321">
        <w:rPr>
          <w:rFonts w:eastAsiaTheme="minorHAnsi"/>
          <w:spacing w:val="1"/>
        </w:rPr>
        <w:t>have applied for a VET student loan for the course in accordance with the loan application requirements.</w:t>
      </w:r>
      <w:r w:rsidR="00593F0F" w:rsidRPr="00096321">
        <w:rPr>
          <w:rFonts w:eastAsiaTheme="minorHAnsi"/>
          <w:spacing w:val="1"/>
        </w:rPr>
        <w:t xml:space="preserve">  </w:t>
      </w:r>
      <w:r w:rsidR="00B22BFF">
        <w:t>An application for a VET student loan must:</w:t>
      </w:r>
      <w:r w:rsidR="00593F0F">
        <w:t xml:space="preserve">  </w:t>
      </w:r>
    </w:p>
    <w:p w14:paraId="278B3EBF" w14:textId="77777777" w:rsidR="00593F0F" w:rsidRPr="00154F73" w:rsidRDefault="00B22BFF" w:rsidP="00A0727A">
      <w:pPr>
        <w:pStyle w:val="ListBullet2"/>
        <w:numPr>
          <w:ilvl w:val="2"/>
          <w:numId w:val="32"/>
        </w:numPr>
        <w:rPr>
          <w:rStyle w:val="ReferenceChar"/>
          <w:rFonts w:cstheme="minorHAnsi"/>
          <w:b w:val="0"/>
          <w:color w:val="auto"/>
          <w:sz w:val="22"/>
        </w:rPr>
      </w:pPr>
      <w:r w:rsidRPr="00B356CA">
        <w:t xml:space="preserve">meet the </w:t>
      </w:r>
      <w:hyperlink w:anchor="_Processes_and_procedures_1" w:history="1">
        <w:r w:rsidRPr="00B356CA">
          <w:t>Tax File Number (TFN) requirements</w:t>
        </w:r>
      </w:hyperlink>
      <w:r>
        <w:t xml:space="preserve"> – i.e. include the student’s tax file number or a certificate from the Commissioner stating that the student has applied for a tax file number</w:t>
      </w:r>
      <w:r w:rsidRPr="00B356CA">
        <w:t xml:space="preserve"> </w:t>
      </w:r>
      <w:r w:rsidRPr="00375A0A">
        <w:rPr>
          <w:rStyle w:val="ReferenceChar"/>
        </w:rPr>
        <w:t>[Act</w:t>
      </w:r>
      <w:r>
        <w:rPr>
          <w:rStyle w:val="ReferenceChar"/>
        </w:rPr>
        <w:t> </w:t>
      </w:r>
      <w:r w:rsidRPr="00375A0A">
        <w:rPr>
          <w:rStyle w:val="ReferenceChar"/>
        </w:rPr>
        <w:t>s</w:t>
      </w:r>
      <w:r>
        <w:rPr>
          <w:rStyle w:val="ReferenceChar"/>
        </w:rPr>
        <w:t> </w:t>
      </w:r>
      <w:r w:rsidRPr="00375A0A">
        <w:rPr>
          <w:rStyle w:val="ReferenceChar"/>
        </w:rPr>
        <w:t>17]</w:t>
      </w:r>
    </w:p>
    <w:p w14:paraId="23F2FBC8" w14:textId="42E237EF" w:rsidR="00593F0F" w:rsidRPr="00154F73" w:rsidRDefault="00B22BFF" w:rsidP="00A0727A">
      <w:pPr>
        <w:pStyle w:val="ListBullet2"/>
        <w:numPr>
          <w:ilvl w:val="2"/>
          <w:numId w:val="32"/>
        </w:numPr>
        <w:rPr>
          <w:rFonts w:cstheme="minorHAnsi"/>
        </w:rPr>
      </w:pPr>
      <w:r>
        <w:t>include the student’s</w:t>
      </w:r>
      <w:r w:rsidRPr="00B356CA">
        <w:t xml:space="preserve"> Unique Student Identifier (USI) </w:t>
      </w:r>
      <w:r>
        <w:t>unless the student is</w:t>
      </w:r>
      <w:r w:rsidRPr="00B356CA">
        <w:t xml:space="preserve"> otherwise exempt</w:t>
      </w:r>
      <w:r w:rsidR="00BC0EA7">
        <w:t xml:space="preserve"> </w:t>
      </w:r>
      <w:r w:rsidR="00BC0EA7" w:rsidRPr="00375A0A">
        <w:rPr>
          <w:rStyle w:val="ReferenceChar"/>
        </w:rPr>
        <w:t>[Act</w:t>
      </w:r>
      <w:r w:rsidR="00BC0EA7">
        <w:rPr>
          <w:rStyle w:val="ReferenceChar"/>
        </w:rPr>
        <w:t> </w:t>
      </w:r>
      <w:r w:rsidR="00BC0EA7" w:rsidRPr="00375A0A">
        <w:rPr>
          <w:rStyle w:val="ReferenceChar"/>
        </w:rPr>
        <w:t>s</w:t>
      </w:r>
      <w:r w:rsidR="00BC0EA7">
        <w:rPr>
          <w:rStyle w:val="ReferenceChar"/>
        </w:rPr>
        <w:t> </w:t>
      </w:r>
      <w:r w:rsidR="00BC0EA7" w:rsidRPr="00375A0A">
        <w:rPr>
          <w:rStyle w:val="ReferenceChar"/>
        </w:rPr>
        <w:t>17]</w:t>
      </w:r>
    </w:p>
    <w:p w14:paraId="3BB1EBB1" w14:textId="77777777" w:rsidR="00593F0F" w:rsidRPr="00154F73" w:rsidRDefault="00B22BFF" w:rsidP="00A0727A">
      <w:pPr>
        <w:pStyle w:val="ListBullet2"/>
        <w:numPr>
          <w:ilvl w:val="2"/>
          <w:numId w:val="32"/>
        </w:numPr>
        <w:rPr>
          <w:rStyle w:val="ReferenceChar"/>
          <w:rFonts w:cstheme="minorHAnsi"/>
          <w:b w:val="0"/>
          <w:color w:val="auto"/>
          <w:sz w:val="22"/>
        </w:rPr>
      </w:pPr>
      <w:r w:rsidRPr="00B356CA">
        <w:t xml:space="preserve">have </w:t>
      </w:r>
      <w:r>
        <w:t>been</w:t>
      </w:r>
      <w:r w:rsidRPr="00B356CA">
        <w:t xml:space="preserve"> submitted by the </w:t>
      </w:r>
      <w:hyperlink w:anchor="_Census_Days" w:history="1">
        <w:r w:rsidRPr="000F1AC5">
          <w:rPr>
            <w:rStyle w:val="Hyperlink"/>
          </w:rPr>
          <w:t>census day</w:t>
        </w:r>
      </w:hyperlink>
      <w:r w:rsidRPr="00B356CA">
        <w:t xml:space="preserve"> </w:t>
      </w:r>
      <w:r>
        <w:t xml:space="preserve">for the first unit for the course for which the student is requesting a loan and </w:t>
      </w:r>
      <w:r w:rsidRPr="00B356CA">
        <w:t xml:space="preserve">no less than </w:t>
      </w:r>
      <w:hyperlink w:anchor="_Processes_and_procedures_1" w:history="1">
        <w:r w:rsidRPr="000F1AC5">
          <w:rPr>
            <w:rStyle w:val="Hyperlink"/>
          </w:rPr>
          <w:t>two business</w:t>
        </w:r>
      </w:hyperlink>
      <w:r w:rsidRPr="00B356CA">
        <w:t xml:space="preserve"> days after enrolling </w:t>
      </w:r>
      <w:r w:rsidRPr="000F1AC5">
        <w:rPr>
          <w:rStyle w:val="ReferenceChar"/>
        </w:rPr>
        <w:t>[Rules s 10]</w:t>
      </w:r>
    </w:p>
    <w:p w14:paraId="33ABBC72" w14:textId="300CB893" w:rsidR="00593F0F" w:rsidRPr="00154F73" w:rsidRDefault="00B22BFF" w:rsidP="00A0727A">
      <w:pPr>
        <w:pStyle w:val="ListBullet2"/>
        <w:numPr>
          <w:ilvl w:val="2"/>
          <w:numId w:val="32"/>
        </w:numPr>
        <w:rPr>
          <w:rFonts w:cstheme="minorHAnsi"/>
        </w:rPr>
      </w:pPr>
      <w:r>
        <w:t xml:space="preserve">be in the form approved by the Secretary for the loan </w:t>
      </w:r>
      <w:r w:rsidR="00BC0EA7" w:rsidRPr="00375A0A">
        <w:rPr>
          <w:rStyle w:val="ReferenceChar"/>
        </w:rPr>
        <w:t>[Act</w:t>
      </w:r>
      <w:r w:rsidR="00BC0EA7">
        <w:rPr>
          <w:rStyle w:val="ReferenceChar"/>
        </w:rPr>
        <w:t> </w:t>
      </w:r>
      <w:r w:rsidR="00BC0EA7" w:rsidRPr="00375A0A">
        <w:rPr>
          <w:rStyle w:val="ReferenceChar"/>
        </w:rPr>
        <w:t>s</w:t>
      </w:r>
      <w:r w:rsidR="00BC0EA7">
        <w:rPr>
          <w:rStyle w:val="ReferenceChar"/>
        </w:rPr>
        <w:t> </w:t>
      </w:r>
      <w:r w:rsidR="00BC0EA7" w:rsidRPr="00375A0A">
        <w:rPr>
          <w:rStyle w:val="ReferenceChar"/>
        </w:rPr>
        <w:t>17]</w:t>
      </w:r>
      <w:r w:rsidR="00BC0EA7">
        <w:rPr>
          <w:rStyle w:val="ReferenceChar"/>
        </w:rPr>
        <w:t xml:space="preserve"> </w:t>
      </w:r>
      <w:r>
        <w:t>– which is generally the eCAF;</w:t>
      </w:r>
      <w:r w:rsidRPr="005E4AE4">
        <w:t xml:space="preserve"> </w:t>
      </w:r>
    </w:p>
    <w:p w14:paraId="5E691E67" w14:textId="1147A64F" w:rsidR="00593F0F" w:rsidRPr="00154F73" w:rsidRDefault="00B22BFF" w:rsidP="00A0727A">
      <w:pPr>
        <w:pStyle w:val="ListBullet2"/>
        <w:numPr>
          <w:ilvl w:val="2"/>
          <w:numId w:val="32"/>
        </w:numPr>
        <w:rPr>
          <w:rFonts w:cstheme="minorHAnsi"/>
        </w:rPr>
      </w:pPr>
      <w:r>
        <w:t xml:space="preserve">where a student is </w:t>
      </w:r>
      <w:r w:rsidRPr="0028499D">
        <w:rPr>
          <w:b/>
          <w:u w:val="single"/>
        </w:rPr>
        <w:t>under 18</w:t>
      </w:r>
      <w:r>
        <w:t xml:space="preserve"> years old, </w:t>
      </w:r>
      <w:r w:rsidR="00593F0F">
        <w:t>must</w:t>
      </w:r>
      <w:r w:rsidR="00BC0EA7">
        <w:t xml:space="preserve"> </w:t>
      </w:r>
      <w:r w:rsidR="00BC0EA7" w:rsidRPr="00375A0A">
        <w:rPr>
          <w:rStyle w:val="ReferenceChar"/>
        </w:rPr>
        <w:t>[</w:t>
      </w:r>
      <w:r w:rsidR="0004431E">
        <w:rPr>
          <w:rStyle w:val="ReferenceChar"/>
        </w:rPr>
        <w:t>Rules paragraph 85(2)(b)</w:t>
      </w:r>
      <w:r w:rsidR="00BC0EA7" w:rsidRPr="00375A0A">
        <w:rPr>
          <w:rStyle w:val="ReferenceChar"/>
        </w:rPr>
        <w:t>]</w:t>
      </w:r>
      <w:r w:rsidR="00593F0F">
        <w:t>:</w:t>
      </w:r>
    </w:p>
    <w:p w14:paraId="01C05014" w14:textId="77777777" w:rsidR="00593F0F" w:rsidRPr="00154F73" w:rsidRDefault="00593F0F" w:rsidP="00A0727A">
      <w:pPr>
        <w:pStyle w:val="ListBullet2"/>
        <w:numPr>
          <w:ilvl w:val="3"/>
          <w:numId w:val="32"/>
        </w:numPr>
        <w:rPr>
          <w:rFonts w:cstheme="minorHAnsi"/>
        </w:rPr>
      </w:pPr>
      <w:r>
        <w:t xml:space="preserve">have a parental consent form signed by a responsible parent of the student; (providers must obtain the signed parental consent form </w:t>
      </w:r>
      <w:r w:rsidRPr="003A3648">
        <w:rPr>
          <w:u w:val="single"/>
        </w:rPr>
        <w:t>prior</w:t>
      </w:r>
      <w:r>
        <w:t xml:space="preserve"> to submitting enrolment information into the eCAF system); or</w:t>
      </w:r>
    </w:p>
    <w:p w14:paraId="49CCD001" w14:textId="3B8AAD71" w:rsidR="00B22BFF" w:rsidRPr="00154F73" w:rsidRDefault="00593F0F" w:rsidP="00A0727A">
      <w:pPr>
        <w:pStyle w:val="ListBullet2"/>
        <w:numPr>
          <w:ilvl w:val="3"/>
          <w:numId w:val="32"/>
        </w:numPr>
        <w:rPr>
          <w:rFonts w:cstheme="minorHAnsi"/>
        </w:rPr>
      </w:pPr>
      <w:r>
        <w:t xml:space="preserve">have evidence of the assessment of receipt of youth allowance on the basis that the student is independent within the meaning of Part 2.11 of the </w:t>
      </w:r>
      <w:r w:rsidR="00B22BFF" w:rsidRPr="00096321">
        <w:rPr>
          <w:i/>
        </w:rPr>
        <w:t>Social Security Act 1991</w:t>
      </w:r>
      <w:r>
        <w:rPr>
          <w:i/>
        </w:rPr>
        <w:t>;</w:t>
      </w:r>
      <w:r>
        <w:t xml:space="preserve"> (p</w:t>
      </w:r>
      <w:r w:rsidR="00B22BFF" w:rsidRPr="00736F23">
        <w:t>roviders should receive from the student evidence of this assessment in the form of th</w:t>
      </w:r>
      <w:r w:rsidR="00B22BFF">
        <w:t>eir Centrelink Income Statement noting this assessment</w:t>
      </w:r>
      <w:r w:rsidR="00B22BFF" w:rsidRPr="00736F23">
        <w:t>)</w:t>
      </w:r>
      <w:r>
        <w:t>.</w:t>
      </w:r>
      <w:r w:rsidR="00B22BFF">
        <w:t xml:space="preserve"> </w:t>
      </w:r>
    </w:p>
    <w:p w14:paraId="51548DCE" w14:textId="77777777" w:rsidR="00096321" w:rsidRPr="006B65B9" w:rsidRDefault="00096321" w:rsidP="008224D7">
      <w:pPr>
        <w:pStyle w:val="Heading5"/>
      </w:pPr>
      <w:bookmarkStart w:id="774" w:name="_Determining_citizenship_and_1"/>
      <w:bookmarkEnd w:id="774"/>
      <w:r w:rsidRPr="006B65B9">
        <w:t>Determining citizenship and visa status</w:t>
      </w:r>
    </w:p>
    <w:bookmarkEnd w:id="769"/>
    <w:bookmarkEnd w:id="770"/>
    <w:bookmarkEnd w:id="771"/>
    <w:bookmarkEnd w:id="772"/>
    <w:bookmarkEnd w:id="773"/>
    <w:p w14:paraId="34BC88AD" w14:textId="4BA6E32A" w:rsidR="004C555C" w:rsidRDefault="00B96480" w:rsidP="00E56063">
      <w:pPr>
        <w:keepNext/>
        <w:keepLines/>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rPr>
          <w:color w:val="000000"/>
          <w:lang w:eastAsia="en-AU"/>
        </w:rPr>
      </w:pPr>
      <w:r w:rsidRPr="008205CD">
        <w:rPr>
          <w:b/>
        </w:rPr>
        <w:t>IMPORTANT NOTE:</w:t>
      </w:r>
    </w:p>
    <w:p w14:paraId="3FD42326" w14:textId="5C659594" w:rsidR="004C555C" w:rsidRDefault="004C555C" w:rsidP="00E56063">
      <w:pPr>
        <w:pBdr>
          <w:top w:val="single" w:sz="4" w:space="1" w:color="auto"/>
          <w:left w:val="single" w:sz="4" w:space="4" w:color="auto"/>
          <w:bottom w:val="single" w:sz="4" w:space="1" w:color="auto"/>
          <w:right w:val="single" w:sz="4" w:space="4" w:color="auto"/>
        </w:pBdr>
        <w:shd w:val="clear" w:color="auto" w:fill="FDE9D9" w:themeFill="accent6" w:themeFillTint="33"/>
        <w:autoSpaceDE w:val="0"/>
        <w:autoSpaceDN w:val="0"/>
        <w:rPr>
          <w:lang w:eastAsia="en-AU"/>
        </w:rPr>
      </w:pPr>
      <w:r>
        <w:rPr>
          <w:color w:val="000000"/>
          <w:lang w:eastAsia="en-AU"/>
        </w:rPr>
        <w:t xml:space="preserve">It is the provider’s responsibility to ensure students meet the citizenship and residency eligibility for VET Student Loans. The provider must collect and verify this </w:t>
      </w:r>
      <w:r w:rsidRPr="00993767">
        <w:rPr>
          <w:rFonts w:cstheme="minorHAnsi"/>
          <w:color w:val="000000"/>
          <w:lang w:eastAsia="en-AU"/>
        </w:rPr>
        <w:t xml:space="preserve">information </w:t>
      </w:r>
      <w:r w:rsidRPr="00993767">
        <w:rPr>
          <w:rFonts w:cstheme="minorHAnsi"/>
          <w:b/>
          <w:bCs/>
          <w:color w:val="00AEF0"/>
          <w:sz w:val="16"/>
          <w:szCs w:val="16"/>
          <w:lang w:eastAsia="en-AU"/>
        </w:rPr>
        <w:t xml:space="preserve">[Rules </w:t>
      </w:r>
      <w:r w:rsidR="007B75F8" w:rsidRPr="00993767">
        <w:rPr>
          <w:rFonts w:cstheme="minorHAnsi"/>
          <w:b/>
          <w:bCs/>
          <w:color w:val="00AEF0"/>
          <w:sz w:val="16"/>
          <w:szCs w:val="16"/>
          <w:lang w:eastAsia="en-AU"/>
        </w:rPr>
        <w:t>paragraph</w:t>
      </w:r>
      <w:r w:rsidRPr="00993767">
        <w:rPr>
          <w:rFonts w:cstheme="minorHAnsi"/>
          <w:b/>
          <w:bCs/>
          <w:color w:val="00AEF0"/>
          <w:sz w:val="16"/>
          <w:szCs w:val="16"/>
          <w:lang w:eastAsia="en-AU"/>
        </w:rPr>
        <w:t xml:space="preserve"> 85</w:t>
      </w:r>
      <w:r w:rsidR="007B75F8" w:rsidRPr="00993767">
        <w:rPr>
          <w:rFonts w:cstheme="minorHAnsi"/>
          <w:b/>
          <w:bCs/>
          <w:color w:val="00AEF0"/>
          <w:sz w:val="16"/>
          <w:szCs w:val="16"/>
          <w:lang w:eastAsia="en-AU"/>
        </w:rPr>
        <w:t>(2)(c)</w:t>
      </w:r>
      <w:r w:rsidRPr="00993767">
        <w:rPr>
          <w:rFonts w:cstheme="minorHAnsi"/>
          <w:b/>
          <w:bCs/>
          <w:color w:val="00AEF0"/>
          <w:sz w:val="16"/>
          <w:szCs w:val="16"/>
          <w:lang w:eastAsia="en-AU"/>
        </w:rPr>
        <w:t>]</w:t>
      </w:r>
      <w:r w:rsidRPr="00993767">
        <w:rPr>
          <w:rFonts w:cstheme="minorHAnsi"/>
          <w:color w:val="000000"/>
          <w:lang w:eastAsia="en-AU"/>
        </w:rPr>
        <w:t>.</w:t>
      </w:r>
      <w:r>
        <w:rPr>
          <w:color w:val="000000"/>
          <w:lang w:eastAsia="en-AU"/>
        </w:rPr>
        <w:t xml:space="preserve"> </w:t>
      </w:r>
      <w:r w:rsidRPr="00993767">
        <w:rPr>
          <w:lang w:eastAsia="en-AU"/>
        </w:rPr>
        <w:t>The following information to assist providers in evidencing citizenship status has been provided by the Department of Immigration and Border Protection.</w:t>
      </w:r>
    </w:p>
    <w:p w14:paraId="48553B86" w14:textId="77777777" w:rsidR="00096321" w:rsidRPr="006B65B9" w:rsidRDefault="00096321" w:rsidP="00F15113">
      <w:pPr>
        <w:pStyle w:val="Heading5"/>
        <w:keepNext/>
        <w:keepLines/>
      </w:pPr>
      <w:r w:rsidRPr="006B65B9">
        <w:lastRenderedPageBreak/>
        <w:t>Australian citizenship</w:t>
      </w:r>
    </w:p>
    <w:p w14:paraId="4C95AD8F" w14:textId="170EAACC" w:rsidR="00096321" w:rsidRPr="00ED4881" w:rsidRDefault="00096321" w:rsidP="00096321">
      <w:pPr>
        <w:rPr>
          <w:rFonts w:eastAsia="Times New Roman"/>
          <w:lang w:eastAsia="en-AU"/>
        </w:rPr>
      </w:pPr>
      <w:r>
        <w:rPr>
          <w:rFonts w:eastAsia="Times New Roman"/>
          <w:lang w:eastAsia="en-AU"/>
        </w:rPr>
        <w:t xml:space="preserve">An Australian Passport is suitable evidence of Australian citizenship. </w:t>
      </w:r>
      <w:r w:rsidR="009E5444">
        <w:rPr>
          <w:rFonts w:eastAsia="Times New Roman"/>
          <w:lang w:eastAsia="en-AU"/>
        </w:rPr>
        <w:t xml:space="preserve">If the applicant does not have an Australian Passport, </w:t>
      </w:r>
      <w:r>
        <w:rPr>
          <w:rFonts w:eastAsia="Times New Roman"/>
          <w:lang w:eastAsia="en-AU"/>
        </w:rPr>
        <w:t>t</w:t>
      </w:r>
      <w:r w:rsidRPr="00ED4881">
        <w:t xml:space="preserve">he </w:t>
      </w:r>
      <w:r w:rsidRPr="00ED4881">
        <w:rPr>
          <w:rFonts w:eastAsia="Times New Roman"/>
          <w:lang w:eastAsia="en-AU"/>
        </w:rPr>
        <w:t>evidence required to demonstrate that an applicant is an Australian citizen may differ depending on whether the applicant was:</w:t>
      </w:r>
    </w:p>
    <w:p w14:paraId="446EFFA6" w14:textId="77777777" w:rsidR="00096321" w:rsidRPr="0038150B" w:rsidRDefault="00096321" w:rsidP="00096321">
      <w:pPr>
        <w:pStyle w:val="ListBullet"/>
        <w:rPr>
          <w:lang w:val="en"/>
        </w:rPr>
      </w:pPr>
      <w:r w:rsidRPr="0038150B">
        <w:rPr>
          <w:lang w:val="en"/>
        </w:rPr>
        <w:t>born in Australia before 20 August 1986</w:t>
      </w:r>
    </w:p>
    <w:p w14:paraId="21057287" w14:textId="77777777" w:rsidR="0004431E" w:rsidRPr="0016506E" w:rsidRDefault="00096321" w:rsidP="00BF403F">
      <w:pPr>
        <w:pStyle w:val="ListBullet"/>
        <w:rPr>
          <w:rFonts w:eastAsia="Times New Roman"/>
          <w:lang w:eastAsia="en-AU"/>
        </w:rPr>
      </w:pPr>
      <w:r w:rsidRPr="0004431E">
        <w:rPr>
          <w:lang w:val="en"/>
        </w:rPr>
        <w:t>born</w:t>
      </w:r>
      <w:r w:rsidRPr="0004431E">
        <w:rPr>
          <w:rFonts w:eastAsia="Times New Roman"/>
          <w:lang w:eastAsia="en-AU"/>
        </w:rPr>
        <w:t xml:space="preserve"> in Australia on or after 20 August 1986</w:t>
      </w:r>
      <w:r w:rsidR="0004431E" w:rsidRPr="0004431E">
        <w:rPr>
          <w:lang w:val="en"/>
        </w:rPr>
        <w:t xml:space="preserve"> </w:t>
      </w:r>
    </w:p>
    <w:p w14:paraId="71524BAF" w14:textId="377F12EA" w:rsidR="00096321" w:rsidRPr="0004431E" w:rsidRDefault="0004431E" w:rsidP="00BF403F">
      <w:pPr>
        <w:pStyle w:val="ListBullet"/>
        <w:rPr>
          <w:rFonts w:eastAsia="Times New Roman"/>
          <w:lang w:eastAsia="en-AU"/>
        </w:rPr>
      </w:pPr>
      <w:r w:rsidRPr="0004431E">
        <w:rPr>
          <w:lang w:val="en"/>
        </w:rPr>
        <w:t>born overseas</w:t>
      </w:r>
      <w:r w:rsidR="00096321" w:rsidRPr="0004431E">
        <w:rPr>
          <w:rFonts w:eastAsia="Times New Roman"/>
          <w:lang w:eastAsia="en-AU"/>
        </w:rPr>
        <w:t>.</w:t>
      </w:r>
    </w:p>
    <w:p w14:paraId="7D2E643E" w14:textId="77777777" w:rsidR="00E57FE0" w:rsidRPr="006B65B9" w:rsidRDefault="00E57FE0" w:rsidP="008224D7">
      <w:pPr>
        <w:pStyle w:val="Heading5"/>
      </w:pPr>
      <w:r w:rsidRPr="006B65B9">
        <w:t>Applicants born in Australia before 20 August 1986</w:t>
      </w:r>
    </w:p>
    <w:p w14:paraId="669AD606" w14:textId="5A1563BC" w:rsidR="00E57FE0" w:rsidRPr="00ED4881" w:rsidRDefault="009B6989" w:rsidP="00E57FE0">
      <w:r>
        <w:t>If a</w:t>
      </w:r>
      <w:r w:rsidR="00E57FE0" w:rsidRPr="001D06CD">
        <w:t>pplicant</w:t>
      </w:r>
      <w:r w:rsidR="00E57FE0">
        <w:t xml:space="preserve">s </w:t>
      </w:r>
      <w:r>
        <w:t xml:space="preserve">do not have an </w:t>
      </w:r>
      <w:r w:rsidR="00E57FE0" w:rsidRPr="001D06CD">
        <w:t>Australian Passport</w:t>
      </w:r>
      <w:r>
        <w:t xml:space="preserve">, they </w:t>
      </w:r>
      <w:r w:rsidR="00E57FE0" w:rsidRPr="00ED4881">
        <w:t>will need to provide their full birth certificate issued by an Australian Registry of Births, Deaths and Marriages (RBDM).</w:t>
      </w:r>
    </w:p>
    <w:p w14:paraId="5D1181C4" w14:textId="77777777" w:rsidR="00E57FE0" w:rsidRPr="00ED4881" w:rsidRDefault="00E57FE0" w:rsidP="00E57FE0">
      <w:r w:rsidRPr="00ED4881">
        <w:t>An exception to this is where the applicant’s parents were in Australia as diplomats or consular officers at the time of the applicant’s birth. In these circumstances, the applicant will need to provide a citizenship certificate as evidence that they are an Australian citizen.</w:t>
      </w:r>
    </w:p>
    <w:p w14:paraId="03AC1107" w14:textId="77777777" w:rsidR="00E57FE0" w:rsidRPr="0038150B" w:rsidRDefault="00E57FE0" w:rsidP="00E57FE0">
      <w:pPr>
        <w:rPr>
          <w:rFonts w:eastAsia="Times New Roman" w:cstheme="minorHAnsi"/>
          <w:lang w:eastAsia="en-AU"/>
        </w:rPr>
      </w:pPr>
      <w:r w:rsidRPr="0038150B">
        <w:rPr>
          <w:rFonts w:cstheme="minorHAnsi"/>
        </w:rPr>
        <w:t xml:space="preserve">If the applicant does not have a citizenship certificate they will need to lodge </w:t>
      </w:r>
      <w:hyperlink r:id="rId68" w:history="1">
        <w:r w:rsidRPr="00AB5C01">
          <w:rPr>
            <w:rStyle w:val="Hyperlink"/>
          </w:rPr>
          <w:t>Form 119 Application for evidence of Australian citizenship</w:t>
        </w:r>
      </w:hyperlink>
      <w:r w:rsidRPr="0038150B">
        <w:rPr>
          <w:rFonts w:eastAsia="Times New Roman" w:cstheme="minorHAnsi"/>
          <w:lang w:eastAsia="en-AU"/>
        </w:rPr>
        <w:t xml:space="preserve"> with certified copies of the required documents and the application fee with DIBP.</w:t>
      </w:r>
    </w:p>
    <w:p w14:paraId="541FC23D" w14:textId="76E1245D" w:rsidR="00D12049" w:rsidRPr="006B65B9" w:rsidRDefault="00D12049" w:rsidP="008224D7">
      <w:pPr>
        <w:pStyle w:val="Heading5"/>
      </w:pPr>
      <w:r w:rsidRPr="006B65B9">
        <w:t>Applicant was born in Australia on or after 20 August 1986 and one of their parents was an</w:t>
      </w:r>
      <w:r w:rsidRPr="00766D81">
        <w:rPr>
          <w:rFonts w:eastAsia="Times New Roman"/>
          <w:lang w:eastAsia="en-AU"/>
        </w:rPr>
        <w:t xml:space="preserve"> </w:t>
      </w:r>
      <w:r w:rsidRPr="006B65B9">
        <w:t>Australian citizen at the time of their birth</w:t>
      </w:r>
    </w:p>
    <w:p w14:paraId="7285AE11" w14:textId="25CB5E6B" w:rsidR="00D12049" w:rsidRPr="00ED4881" w:rsidRDefault="00E74904" w:rsidP="0016506E">
      <w:pPr>
        <w:keepNext/>
        <w:keepLines/>
        <w:spacing w:after="120"/>
        <w:rPr>
          <w:rFonts w:eastAsia="Times New Roman"/>
          <w:lang w:eastAsia="en-AU"/>
        </w:rPr>
      </w:pPr>
      <w:r>
        <w:rPr>
          <w:rFonts w:eastAsia="Times New Roman"/>
          <w:lang w:eastAsia="en-AU"/>
        </w:rPr>
        <w:t>If a</w:t>
      </w:r>
      <w:r w:rsidR="00D12049" w:rsidRPr="001D06CD">
        <w:rPr>
          <w:rFonts w:eastAsia="Times New Roman"/>
          <w:lang w:eastAsia="en-AU"/>
        </w:rPr>
        <w:t>pplicant</w:t>
      </w:r>
      <w:r w:rsidR="00D12049">
        <w:rPr>
          <w:rFonts w:eastAsia="Times New Roman"/>
          <w:lang w:eastAsia="en-AU"/>
        </w:rPr>
        <w:t xml:space="preserve">s </w:t>
      </w:r>
      <w:r>
        <w:rPr>
          <w:rFonts w:eastAsia="Times New Roman"/>
          <w:lang w:eastAsia="en-AU"/>
        </w:rPr>
        <w:t xml:space="preserve">do not have an </w:t>
      </w:r>
      <w:r w:rsidR="00D12049">
        <w:rPr>
          <w:rFonts w:eastAsia="Times New Roman"/>
          <w:lang w:eastAsia="en-AU"/>
        </w:rPr>
        <w:t>Australian Passport</w:t>
      </w:r>
      <w:r>
        <w:rPr>
          <w:rFonts w:eastAsia="Times New Roman"/>
          <w:lang w:eastAsia="en-AU"/>
        </w:rPr>
        <w:t xml:space="preserve">, and </w:t>
      </w:r>
      <w:r w:rsidR="00D12049">
        <w:rPr>
          <w:rFonts w:eastAsia="Times New Roman"/>
          <w:lang w:eastAsia="en-AU"/>
        </w:rPr>
        <w:t>where</w:t>
      </w:r>
      <w:r w:rsidR="00D12049" w:rsidRPr="00ED4881">
        <w:rPr>
          <w:rFonts w:eastAsia="Times New Roman"/>
          <w:lang w:eastAsia="en-AU"/>
        </w:rPr>
        <w:t xml:space="preserve"> one (or both) of </w:t>
      </w:r>
      <w:r w:rsidR="00D12049">
        <w:rPr>
          <w:rFonts w:eastAsia="Times New Roman"/>
          <w:lang w:eastAsia="en-AU"/>
        </w:rPr>
        <w:t>the applicant’s</w:t>
      </w:r>
      <w:r w:rsidR="00D12049" w:rsidRPr="00ED4881">
        <w:rPr>
          <w:rFonts w:eastAsia="Times New Roman"/>
          <w:lang w:eastAsia="en-AU"/>
        </w:rPr>
        <w:t xml:space="preserve"> parents was an Australian citizen at the time of their birth, the applicant </w:t>
      </w:r>
      <w:r w:rsidR="00D12049">
        <w:rPr>
          <w:rFonts w:eastAsia="Times New Roman"/>
          <w:lang w:eastAsia="en-AU"/>
        </w:rPr>
        <w:t>should</w:t>
      </w:r>
      <w:r w:rsidR="00D12049" w:rsidRPr="00ED4881">
        <w:rPr>
          <w:rFonts w:eastAsia="Times New Roman"/>
          <w:lang w:eastAsia="en-AU"/>
        </w:rPr>
        <w:t xml:space="preserve"> provide their full birth certificate issued by an Australian RBDM </w:t>
      </w:r>
      <w:r w:rsidR="00D12049" w:rsidRPr="00E1014C">
        <w:rPr>
          <w:rStyle w:val="Strong"/>
        </w:rPr>
        <w:t>and one</w:t>
      </w:r>
      <w:r w:rsidR="00D12049" w:rsidRPr="00ED4881">
        <w:rPr>
          <w:rFonts w:eastAsia="Times New Roman"/>
          <w:b/>
          <w:bCs/>
          <w:lang w:eastAsia="en-AU"/>
        </w:rPr>
        <w:t xml:space="preserve"> </w:t>
      </w:r>
      <w:r w:rsidR="00D12049" w:rsidRPr="00ED4881">
        <w:rPr>
          <w:rFonts w:eastAsia="Times New Roman"/>
          <w:lang w:eastAsia="en-AU"/>
        </w:rPr>
        <w:t>of the following documents to show that one of their parents was an Australian citizen at the time of their birth:</w:t>
      </w:r>
    </w:p>
    <w:p w14:paraId="0D73B498" w14:textId="77777777" w:rsidR="00D12049" w:rsidRPr="00B36F2E" w:rsidRDefault="00D12049" w:rsidP="008205CD">
      <w:pPr>
        <w:pStyle w:val="ListBullet"/>
        <w:rPr>
          <w:lang w:val="en"/>
        </w:rPr>
      </w:pPr>
      <w:r w:rsidRPr="00B36F2E">
        <w:rPr>
          <w:lang w:val="en"/>
        </w:rPr>
        <w:t xml:space="preserve">their parent’s Australian citizenship certificate or </w:t>
      </w:r>
    </w:p>
    <w:p w14:paraId="2AE3ECC8" w14:textId="6C2313F2" w:rsidR="00D12049" w:rsidRPr="00B36F2E" w:rsidRDefault="00D12049" w:rsidP="008205CD">
      <w:pPr>
        <w:pStyle w:val="ListBullet"/>
        <w:rPr>
          <w:lang w:val="en"/>
        </w:rPr>
      </w:pPr>
      <w:r w:rsidRPr="00B36F2E">
        <w:rPr>
          <w:lang w:val="en"/>
        </w:rPr>
        <w:t>if their parent was born in Australia before 20 August 1986, their parent</w:t>
      </w:r>
      <w:r w:rsidR="00001A2B">
        <w:rPr>
          <w:lang w:val="en"/>
        </w:rPr>
        <w:t>’</w:t>
      </w:r>
      <w:r w:rsidRPr="00B36F2E">
        <w:rPr>
          <w:lang w:val="en"/>
        </w:rPr>
        <w:t xml:space="preserve">s full birth certificate issued by an Australian RBDM or </w:t>
      </w:r>
    </w:p>
    <w:p w14:paraId="04FF8C07" w14:textId="77777777" w:rsidR="00D12049" w:rsidRPr="00ED4881" w:rsidRDefault="00D12049" w:rsidP="008205CD">
      <w:pPr>
        <w:pStyle w:val="ListBullet"/>
      </w:pPr>
      <w:r w:rsidRPr="00B36F2E">
        <w:rPr>
          <w:lang w:val="en"/>
        </w:rPr>
        <w:t>if their parent was born in Australia on or after 20 August 1986, their parent</w:t>
      </w:r>
      <w:r>
        <w:rPr>
          <w:lang w:val="en"/>
        </w:rPr>
        <w:t>’</w:t>
      </w:r>
      <w:r w:rsidRPr="00B36F2E">
        <w:rPr>
          <w:lang w:val="en"/>
        </w:rPr>
        <w:t>s full birth certificate issued by an Australian RBDM and their grandparent's Australian birth certificate issued</w:t>
      </w:r>
      <w:r w:rsidRPr="00ED4881">
        <w:t xml:space="preserve"> by an Australian RBDM.</w:t>
      </w:r>
    </w:p>
    <w:p w14:paraId="5AAB9413" w14:textId="77777777" w:rsidR="00D12049" w:rsidRDefault="00D12049" w:rsidP="008205CD">
      <w:pPr>
        <w:spacing w:after="120"/>
        <w:rPr>
          <w:rFonts w:eastAsia="Times New Roman"/>
          <w:lang w:eastAsia="en-AU"/>
        </w:rPr>
      </w:pPr>
      <w:r w:rsidRPr="00ED4881">
        <w:rPr>
          <w:rFonts w:eastAsia="Times New Roman"/>
          <w:lang w:eastAsia="en-AU"/>
        </w:rPr>
        <w:t xml:space="preserve">If the applicant cannot provide this they </w:t>
      </w:r>
      <w:r>
        <w:rPr>
          <w:rFonts w:eastAsia="Times New Roman"/>
          <w:lang w:eastAsia="en-AU"/>
        </w:rPr>
        <w:t xml:space="preserve">should </w:t>
      </w:r>
      <w:r w:rsidRPr="00ED4881">
        <w:rPr>
          <w:rFonts w:eastAsia="Times New Roman"/>
          <w:lang w:eastAsia="en-AU"/>
        </w:rPr>
        <w:t xml:space="preserve">apply for their own evidence of Australian citizenship by lodging </w:t>
      </w:r>
      <w:hyperlink r:id="rId69" w:history="1">
        <w:r w:rsidRPr="00AB5C01">
          <w:rPr>
            <w:rStyle w:val="Hyperlink"/>
          </w:rPr>
          <w:t>Form 119 Application for evidence of Australian citizenship</w:t>
        </w:r>
      </w:hyperlink>
      <w:r w:rsidRPr="00ED4881">
        <w:rPr>
          <w:rFonts w:eastAsia="Times New Roman"/>
          <w:lang w:eastAsia="en-AU"/>
        </w:rPr>
        <w:t xml:space="preserve"> with certified copies of the required documents and the application fee with DIBP.</w:t>
      </w:r>
    </w:p>
    <w:p w14:paraId="23F0FA35" w14:textId="77777777" w:rsidR="00D12049" w:rsidRPr="006B65B9" w:rsidRDefault="00D12049" w:rsidP="008224D7">
      <w:pPr>
        <w:pStyle w:val="Heading5"/>
      </w:pPr>
      <w:r w:rsidRPr="006B65B9">
        <w:t>Applicant was born in Australia on or after 20 August 1986 and one of their parents was a permanent resident of Australia at the time of their birth</w:t>
      </w:r>
    </w:p>
    <w:p w14:paraId="6EBB84AA" w14:textId="054C01AA" w:rsidR="00D12049" w:rsidRPr="00ED4881" w:rsidRDefault="00E74904" w:rsidP="00D12049">
      <w:pPr>
        <w:rPr>
          <w:rFonts w:eastAsia="Times New Roman"/>
          <w:lang w:eastAsia="en-AU"/>
        </w:rPr>
      </w:pPr>
      <w:r>
        <w:rPr>
          <w:rFonts w:eastAsia="Times New Roman"/>
          <w:lang w:eastAsia="en-AU"/>
        </w:rPr>
        <w:t>If applicants do not have an Australian passport, and w</w:t>
      </w:r>
      <w:r w:rsidR="00D12049">
        <w:rPr>
          <w:rFonts w:eastAsia="Times New Roman"/>
          <w:lang w:eastAsia="en-AU"/>
        </w:rPr>
        <w:t>here</w:t>
      </w:r>
      <w:r w:rsidR="00D12049" w:rsidRPr="00ED4881">
        <w:rPr>
          <w:rFonts w:eastAsia="Times New Roman"/>
          <w:lang w:eastAsia="en-AU"/>
        </w:rPr>
        <w:t xml:space="preserve"> one (or both) of </w:t>
      </w:r>
      <w:r w:rsidR="00D12049">
        <w:rPr>
          <w:rFonts w:eastAsia="Times New Roman"/>
          <w:lang w:eastAsia="en-AU"/>
        </w:rPr>
        <w:t>the applicant’s</w:t>
      </w:r>
      <w:r w:rsidR="00D12049" w:rsidRPr="00ED4881">
        <w:rPr>
          <w:rFonts w:eastAsia="Times New Roman"/>
          <w:lang w:eastAsia="en-AU"/>
        </w:rPr>
        <w:t xml:space="preserve"> parents was a permanent resident of Australia at the time of their birth, they will need to provide </w:t>
      </w:r>
      <w:r w:rsidR="00D12049" w:rsidRPr="00AB5C01">
        <w:rPr>
          <w:rStyle w:val="Strong"/>
        </w:rPr>
        <w:t>both</w:t>
      </w:r>
      <w:r w:rsidR="00D12049" w:rsidRPr="00ED4881">
        <w:rPr>
          <w:rFonts w:eastAsia="Times New Roman"/>
          <w:lang w:eastAsia="en-AU"/>
        </w:rPr>
        <w:t xml:space="preserve"> of the following documents to prove their Australian citizenship:</w:t>
      </w:r>
    </w:p>
    <w:p w14:paraId="2ADD5D8D" w14:textId="77777777" w:rsidR="00D12049" w:rsidRPr="00B36F2E" w:rsidRDefault="00D12049" w:rsidP="00D12049">
      <w:pPr>
        <w:pStyle w:val="ListBullet"/>
        <w:rPr>
          <w:lang w:val="en"/>
        </w:rPr>
      </w:pPr>
      <w:r w:rsidRPr="00B36F2E">
        <w:rPr>
          <w:lang w:val="en"/>
        </w:rPr>
        <w:t>their full birth certificate issued by an Australian RBDM</w:t>
      </w:r>
    </w:p>
    <w:p w14:paraId="095AC45D" w14:textId="77777777" w:rsidR="00D12049" w:rsidRPr="00B36F2E" w:rsidRDefault="00D12049" w:rsidP="00D12049">
      <w:pPr>
        <w:pStyle w:val="ListBullet"/>
      </w:pPr>
      <w:r w:rsidRPr="00B36F2E">
        <w:rPr>
          <w:lang w:val="en"/>
        </w:rPr>
        <w:t xml:space="preserve">their </w:t>
      </w:r>
      <w:r w:rsidRPr="00B36F2E">
        <w:t>Australian citizenship certificate.</w:t>
      </w:r>
    </w:p>
    <w:p w14:paraId="7A2BEAF7" w14:textId="77777777" w:rsidR="00D12049" w:rsidRPr="00B36F2E" w:rsidRDefault="00D12049" w:rsidP="00D12049">
      <w:pPr>
        <w:rPr>
          <w:rFonts w:eastAsia="Times New Roman"/>
          <w:lang w:eastAsia="en-AU"/>
        </w:rPr>
      </w:pPr>
      <w:r w:rsidRPr="00B36F2E">
        <w:rPr>
          <w:rFonts w:eastAsia="Times New Roman"/>
          <w:lang w:eastAsia="en-AU"/>
        </w:rPr>
        <w:t xml:space="preserve">They can apply for an Australian citizenship certificate by lodging </w:t>
      </w:r>
      <w:hyperlink r:id="rId70" w:history="1">
        <w:r w:rsidRPr="00AB5C01">
          <w:rPr>
            <w:rStyle w:val="Hyperlink"/>
          </w:rPr>
          <w:t>Form 119 Application for evidence of Australian citizenship</w:t>
        </w:r>
      </w:hyperlink>
      <w:r w:rsidRPr="00B36F2E">
        <w:rPr>
          <w:rFonts w:eastAsia="Times New Roman"/>
          <w:lang w:eastAsia="en-AU"/>
        </w:rPr>
        <w:t xml:space="preserve"> with certified copies of the required documents and the applica</w:t>
      </w:r>
      <w:r w:rsidRPr="00B36F2E">
        <w:t>ti</w:t>
      </w:r>
      <w:r w:rsidRPr="00B36F2E">
        <w:rPr>
          <w:rFonts w:eastAsia="Times New Roman"/>
          <w:lang w:eastAsia="en-AU"/>
        </w:rPr>
        <w:t>on fee with DIBP.</w:t>
      </w:r>
    </w:p>
    <w:p w14:paraId="01E1F501" w14:textId="77777777" w:rsidR="00D12049" w:rsidRPr="00ED4881" w:rsidRDefault="00D12049" w:rsidP="00D12049">
      <w:pPr>
        <w:rPr>
          <w:rFonts w:eastAsia="Times New Roman"/>
          <w:lang w:eastAsia="en-AU"/>
        </w:rPr>
      </w:pPr>
      <w:r w:rsidRPr="00ED4881">
        <w:rPr>
          <w:rFonts w:eastAsia="Times New Roman"/>
          <w:lang w:eastAsia="en-AU"/>
        </w:rPr>
        <w:t>The following documents are not acceptable as proof of a parent’s permanent residency for VET Student Loan applications:</w:t>
      </w:r>
    </w:p>
    <w:p w14:paraId="5480D0CC" w14:textId="77777777" w:rsidR="00D12049" w:rsidRPr="00B36F2E" w:rsidRDefault="00D12049" w:rsidP="00D12049">
      <w:pPr>
        <w:pStyle w:val="ListBullet"/>
        <w:rPr>
          <w:lang w:val="en"/>
        </w:rPr>
      </w:pPr>
      <w:r w:rsidRPr="00B36F2E">
        <w:rPr>
          <w:lang w:val="en"/>
        </w:rPr>
        <w:lastRenderedPageBreak/>
        <w:t>parent's foreign passport with a visa label</w:t>
      </w:r>
    </w:p>
    <w:p w14:paraId="6CD70D1B" w14:textId="77777777" w:rsidR="00D12049" w:rsidRPr="00B36F2E" w:rsidRDefault="00D12049" w:rsidP="00D12049">
      <w:pPr>
        <w:pStyle w:val="ListBullet"/>
        <w:rPr>
          <w:lang w:val="en"/>
        </w:rPr>
      </w:pPr>
      <w:r w:rsidRPr="00B36F2E">
        <w:rPr>
          <w:lang w:val="en"/>
        </w:rPr>
        <w:t>Visa Entitlement Verification Online (VEVO) printout</w:t>
      </w:r>
    </w:p>
    <w:p w14:paraId="111EC457" w14:textId="77777777" w:rsidR="00D12049" w:rsidRPr="00B36F2E" w:rsidRDefault="00D12049" w:rsidP="00D12049">
      <w:pPr>
        <w:pStyle w:val="ListBullet"/>
        <w:rPr>
          <w:lang w:val="en"/>
        </w:rPr>
      </w:pPr>
      <w:r w:rsidRPr="00B36F2E">
        <w:rPr>
          <w:lang w:val="en"/>
        </w:rPr>
        <w:t>visa grant notification letter</w:t>
      </w:r>
    </w:p>
    <w:p w14:paraId="645EF713" w14:textId="77777777" w:rsidR="00D12049" w:rsidRPr="00B36F2E" w:rsidRDefault="00D12049" w:rsidP="00D12049">
      <w:pPr>
        <w:pStyle w:val="ListBullet"/>
        <w:rPr>
          <w:lang w:val="en"/>
        </w:rPr>
      </w:pPr>
      <w:r w:rsidRPr="00B36F2E">
        <w:rPr>
          <w:lang w:val="en"/>
        </w:rPr>
        <w:t>Certificate of Evidence of Resident Status (CERS)</w:t>
      </w:r>
    </w:p>
    <w:p w14:paraId="2A3979F5" w14:textId="77777777" w:rsidR="00D12049" w:rsidRPr="00B36F2E" w:rsidRDefault="00D12049" w:rsidP="00D12049">
      <w:pPr>
        <w:pStyle w:val="ListBullet"/>
        <w:rPr>
          <w:lang w:val="en"/>
        </w:rPr>
      </w:pPr>
      <w:r w:rsidRPr="00B36F2E">
        <w:rPr>
          <w:lang w:val="en"/>
        </w:rPr>
        <w:t>Certificate of Status for New Zealand Citizens in Australia (CSNZCA)</w:t>
      </w:r>
    </w:p>
    <w:p w14:paraId="7A086E9D" w14:textId="77777777" w:rsidR="00D12049" w:rsidRPr="00B36F2E" w:rsidRDefault="00D12049" w:rsidP="00D12049">
      <w:pPr>
        <w:pStyle w:val="ListBullet"/>
        <w:rPr>
          <w:lang w:val="en"/>
        </w:rPr>
      </w:pPr>
      <w:r w:rsidRPr="00B36F2E">
        <w:rPr>
          <w:lang w:val="en"/>
        </w:rPr>
        <w:t>ImmiCard</w:t>
      </w:r>
    </w:p>
    <w:p w14:paraId="3088693C" w14:textId="77777777" w:rsidR="00D12049" w:rsidRPr="00B36F2E" w:rsidRDefault="00D12049" w:rsidP="00D12049">
      <w:pPr>
        <w:pStyle w:val="ListBullet"/>
        <w:rPr>
          <w:lang w:val="en"/>
        </w:rPr>
      </w:pPr>
      <w:r w:rsidRPr="00B36F2E">
        <w:rPr>
          <w:lang w:val="en"/>
        </w:rPr>
        <w:t>Freedom of Information (FOI) letter from the Department of Immigration and Border Protection.</w:t>
      </w:r>
    </w:p>
    <w:p w14:paraId="7C39E15C" w14:textId="77777777" w:rsidR="00D12049" w:rsidRPr="00B36F2E" w:rsidRDefault="00D12049" w:rsidP="00D12049">
      <w:pPr>
        <w:spacing w:after="120"/>
        <w:rPr>
          <w:rFonts w:eastAsia="Times New Roman"/>
          <w:lang w:eastAsia="en-AU"/>
        </w:rPr>
      </w:pPr>
      <w:r w:rsidRPr="00B36F2E">
        <w:rPr>
          <w:rFonts w:eastAsia="Times New Roman"/>
          <w:lang w:eastAsia="en-AU"/>
        </w:rPr>
        <w:t>These documents only provide proof of a person’s visa status on the day they are issued / printed and are not sufficient proof of a parent’s resident status at the time the applicant was born.</w:t>
      </w:r>
    </w:p>
    <w:p w14:paraId="538779F6" w14:textId="77777777" w:rsidR="00BD5029" w:rsidRPr="00DB1CCE" w:rsidRDefault="00BD5029" w:rsidP="008224D7">
      <w:pPr>
        <w:pStyle w:val="Heading5"/>
      </w:pPr>
      <w:r w:rsidRPr="00DB1CCE">
        <w:t>Applicants born overseas and acquired Australian citizenship by application</w:t>
      </w:r>
    </w:p>
    <w:p w14:paraId="0F5EAFCE" w14:textId="77777777" w:rsidR="00BD5029" w:rsidRPr="001D06CD" w:rsidRDefault="00BD5029" w:rsidP="00BD5029">
      <w:r>
        <w:t xml:space="preserve">As a guide, please refer to the relevant category below: </w:t>
      </w:r>
    </w:p>
    <w:p w14:paraId="3E8B38B8" w14:textId="77777777" w:rsidR="00BD5029" w:rsidRPr="0038150B" w:rsidRDefault="00BD5029" w:rsidP="00BD5029">
      <w:pPr>
        <w:spacing w:after="120"/>
        <w:rPr>
          <w:rFonts w:eastAsia="Times New Roman"/>
          <w:lang w:eastAsia="en-AU"/>
        </w:rPr>
      </w:pPr>
      <w:r w:rsidRPr="0038150B">
        <w:rPr>
          <w:rFonts w:eastAsia="Times New Roman"/>
          <w:lang w:eastAsia="en-AU"/>
        </w:rPr>
        <w:t>Applicants will need to provide one of the following documents as evidence of their Australian citizenship:</w:t>
      </w:r>
    </w:p>
    <w:p w14:paraId="7E0BBE3C" w14:textId="77777777" w:rsidR="00BD5029" w:rsidRDefault="00BD5029" w:rsidP="00BD5029">
      <w:pPr>
        <w:pStyle w:val="ListBullet"/>
        <w:ind w:left="426" w:hanging="426"/>
        <w:rPr>
          <w:lang w:val="en"/>
        </w:rPr>
      </w:pPr>
      <w:r>
        <w:rPr>
          <w:lang w:val="en"/>
        </w:rPr>
        <w:t>an Australian passport</w:t>
      </w:r>
    </w:p>
    <w:p w14:paraId="238E0A5F" w14:textId="77777777" w:rsidR="00BD5029" w:rsidRPr="0038150B" w:rsidRDefault="00BD5029" w:rsidP="00BD5029">
      <w:pPr>
        <w:pStyle w:val="ListBullet"/>
        <w:ind w:left="426" w:hanging="426"/>
        <w:rPr>
          <w:lang w:val="en"/>
        </w:rPr>
      </w:pPr>
      <w:r w:rsidRPr="0038150B">
        <w:rPr>
          <w:lang w:val="en"/>
        </w:rPr>
        <w:t>an Australian citizenship certificate</w:t>
      </w:r>
    </w:p>
    <w:p w14:paraId="1B309AAF" w14:textId="77777777" w:rsidR="00BD5029" w:rsidRPr="0038150B" w:rsidRDefault="00BD5029" w:rsidP="00BD5029">
      <w:pPr>
        <w:pStyle w:val="ListBullet"/>
        <w:ind w:left="426" w:hanging="426"/>
        <w:rPr>
          <w:lang w:val="en"/>
        </w:rPr>
      </w:pPr>
      <w:r w:rsidRPr="0038150B">
        <w:rPr>
          <w:lang w:val="en"/>
        </w:rPr>
        <w:t>a Citizenship by Descent extract</w:t>
      </w:r>
    </w:p>
    <w:p w14:paraId="32AAD995" w14:textId="77777777" w:rsidR="00BD5029" w:rsidRPr="00AB5C01" w:rsidRDefault="00BD5029" w:rsidP="00BD5029">
      <w:pPr>
        <w:pStyle w:val="ListBullet"/>
        <w:spacing w:before="100" w:beforeAutospacing="1"/>
        <w:ind w:left="426" w:hanging="426"/>
        <w:rPr>
          <w:rFonts w:eastAsia="Times New Roman" w:cstheme="minorHAnsi"/>
          <w:lang w:eastAsia="en-AU"/>
        </w:rPr>
      </w:pPr>
      <w:r w:rsidRPr="00AB5C01">
        <w:rPr>
          <w:lang w:val="en"/>
        </w:rPr>
        <w:t>an Adoption in accordance with the Hague Convention on Intercountry Adoption or bilateral</w:t>
      </w:r>
      <w:r w:rsidRPr="00AB5C01">
        <w:rPr>
          <w:rFonts w:eastAsia="Times New Roman"/>
          <w:lang w:eastAsia="en-AU"/>
        </w:rPr>
        <w:t xml:space="preserve"> arrangement extract</w:t>
      </w:r>
    </w:p>
    <w:p w14:paraId="5F69F0D5" w14:textId="77777777" w:rsidR="00BD5029" w:rsidRPr="00AB5C01" w:rsidRDefault="00BD5029" w:rsidP="00BD5029">
      <w:pPr>
        <w:rPr>
          <w:rFonts w:eastAsia="Times New Roman"/>
          <w:lang w:eastAsia="en-AU"/>
        </w:rPr>
      </w:pPr>
      <w:r w:rsidRPr="00AB5C01">
        <w:t>If an applicant does not have one of the above citizenship documents they will need to apply for a replacement</w:t>
      </w:r>
      <w:r w:rsidRPr="00AB5C01">
        <w:rPr>
          <w:rFonts w:eastAsia="Times New Roman"/>
          <w:lang w:eastAsia="en-AU"/>
        </w:rPr>
        <w:t xml:space="preserve"> certificate by lodging </w:t>
      </w:r>
      <w:hyperlink r:id="rId71" w:history="1">
        <w:r w:rsidRPr="00AB5C01">
          <w:rPr>
            <w:rStyle w:val="Hyperlink"/>
          </w:rPr>
          <w:t>Form 119 Application for evidence of Australian citizenship</w:t>
        </w:r>
      </w:hyperlink>
      <w:r w:rsidRPr="00AB5C01">
        <w:rPr>
          <w:rFonts w:eastAsia="Times New Roman"/>
          <w:lang w:eastAsia="en-AU"/>
        </w:rPr>
        <w:t xml:space="preserve"> with certified copies of the required documents and the application fee with the Department of Immigration and Border Protection (DIBP).</w:t>
      </w:r>
    </w:p>
    <w:p w14:paraId="74233D07" w14:textId="098AB19C" w:rsidR="00BD5029" w:rsidRPr="006B65B9" w:rsidRDefault="00BD5029" w:rsidP="008224D7">
      <w:pPr>
        <w:pStyle w:val="Heading5"/>
      </w:pPr>
      <w:r w:rsidRPr="006B65B9">
        <w:t>Applicant or their parent was born in Papua New Guinea prior to 16 Sep 1975</w:t>
      </w:r>
    </w:p>
    <w:p w14:paraId="06E92783" w14:textId="77777777" w:rsidR="00BD5029" w:rsidRPr="00B36F2E" w:rsidRDefault="00BD5029" w:rsidP="00BD5029">
      <w:pPr>
        <w:rPr>
          <w:rFonts w:eastAsia="Times New Roman"/>
          <w:lang w:eastAsia="en-AU"/>
        </w:rPr>
      </w:pPr>
      <w:r w:rsidRPr="00B36F2E">
        <w:rPr>
          <w:rFonts w:eastAsia="Times New Roman"/>
          <w:lang w:eastAsia="en-AU"/>
        </w:rPr>
        <w:t xml:space="preserve">Papua New Guinea became a sovereign nation on 16 Sep 1975 (PNG Independence Day). Assessing Australian citizenship status of people born in PNG prior </w:t>
      </w:r>
      <w:r>
        <w:rPr>
          <w:rFonts w:eastAsia="Times New Roman"/>
          <w:lang w:eastAsia="en-AU"/>
        </w:rPr>
        <w:t xml:space="preserve">to 16 Sep 1975 can be complex. </w:t>
      </w:r>
      <w:r w:rsidRPr="00B36F2E">
        <w:rPr>
          <w:rFonts w:eastAsia="Times New Roman"/>
          <w:lang w:eastAsia="en-AU"/>
        </w:rPr>
        <w:t>DIBP is aware that in the past this cohort of people has been incorrectly issued with an Australian passport based on an incorrect assessment of their citizenship status.  As such, the citizenship status of some applicants born in PNG prior to 16 Sep 1975 must be checked and verified with DIBP.</w:t>
      </w:r>
    </w:p>
    <w:p w14:paraId="399D8AB5" w14:textId="77777777" w:rsidR="00BD5029" w:rsidRPr="00ED4881" w:rsidRDefault="00BD5029" w:rsidP="00BD5029">
      <w:pPr>
        <w:rPr>
          <w:rFonts w:eastAsia="Times New Roman"/>
          <w:lang w:eastAsia="en-AU"/>
        </w:rPr>
      </w:pPr>
      <w:r w:rsidRPr="00ED4881">
        <w:rPr>
          <w:rFonts w:eastAsia="Times New Roman"/>
          <w:lang w:eastAsia="en-AU"/>
        </w:rPr>
        <w:t xml:space="preserve">The applicant should be referred to DIBP to obtain evidence of Australian citizenship by lodging </w:t>
      </w:r>
      <w:hyperlink r:id="rId72" w:history="1">
        <w:r>
          <w:rPr>
            <w:rStyle w:val="Hyperlink"/>
          </w:rPr>
          <w:t>Form </w:t>
        </w:r>
        <w:r w:rsidRPr="00E1014C">
          <w:rPr>
            <w:rStyle w:val="Hyperlink"/>
          </w:rPr>
          <w:t>119 Application for evidence of Australian citizenship</w:t>
        </w:r>
      </w:hyperlink>
      <w:r w:rsidRPr="00ED4881">
        <w:rPr>
          <w:rFonts w:eastAsia="Times New Roman"/>
          <w:lang w:eastAsia="en-AU"/>
        </w:rPr>
        <w:t xml:space="preserve"> if:</w:t>
      </w:r>
    </w:p>
    <w:p w14:paraId="6BDF0B7B" w14:textId="77777777" w:rsidR="00BD5029" w:rsidRPr="00E1014C" w:rsidRDefault="00BD5029" w:rsidP="00BD5029">
      <w:pPr>
        <w:pStyle w:val="ListBullet"/>
      </w:pPr>
      <w:r w:rsidRPr="00E1014C">
        <w:t>evidence of citizenship was issued before 1 Jan 2009 and the applic</w:t>
      </w:r>
      <w:r>
        <w:t>ant was born in PNG prior to 16 Sep </w:t>
      </w:r>
      <w:r w:rsidRPr="00E1014C">
        <w:t>1975; or</w:t>
      </w:r>
    </w:p>
    <w:p w14:paraId="66C863B2" w14:textId="77777777" w:rsidR="00BD5029" w:rsidRPr="00E1014C" w:rsidRDefault="00BD5029" w:rsidP="00BD5029">
      <w:pPr>
        <w:pStyle w:val="ListBullet"/>
      </w:pPr>
      <w:r w:rsidRPr="00E1014C">
        <w:t>citizenship was acquired by descent before 1 Jan 2009 where the parent(s) was born in PNG before 16 Sep 1975.</w:t>
      </w:r>
    </w:p>
    <w:p w14:paraId="30A580CD" w14:textId="77777777" w:rsidR="00BD5029" w:rsidRPr="00CC07AC" w:rsidRDefault="00BD5029" w:rsidP="00BD5029">
      <w:pPr>
        <w:spacing w:after="120"/>
        <w:rPr>
          <w:rFonts w:eastAsia="Times New Roman"/>
          <w:lang w:eastAsia="en-AU"/>
        </w:rPr>
      </w:pPr>
      <w:r w:rsidRPr="00ED4881">
        <w:rPr>
          <w:rFonts w:eastAsia="Times New Roman"/>
          <w:lang w:eastAsia="en-AU"/>
        </w:rPr>
        <w:t xml:space="preserve">A citizenship certificate can be accepted as evidence that the applicant is an Australian citizen if </w:t>
      </w:r>
      <w:r w:rsidRPr="00ED4881">
        <w:t xml:space="preserve">the evidence of citizenship was issued on or after 1 Jan 2009 regardless of the </w:t>
      </w:r>
      <w:r w:rsidRPr="00CC07AC">
        <w:t>acquisition date or date of birth.</w:t>
      </w:r>
    </w:p>
    <w:p w14:paraId="584B09D8" w14:textId="77777777" w:rsidR="00BD5029" w:rsidRPr="00E1014C" w:rsidRDefault="00BD5029" w:rsidP="00BD5029">
      <w:pPr>
        <w:spacing w:after="120"/>
        <w:rPr>
          <w:rStyle w:val="Strong"/>
        </w:rPr>
      </w:pPr>
      <w:r w:rsidRPr="00E1014C">
        <w:rPr>
          <w:rStyle w:val="Strong"/>
        </w:rPr>
        <w:t>Applicants need to take DIBP’s application processing times into ac</w:t>
      </w:r>
      <w:r>
        <w:rPr>
          <w:rStyle w:val="Strong"/>
        </w:rPr>
        <w:t>count before applying for a VET </w:t>
      </w:r>
      <w:r w:rsidRPr="00E1014C">
        <w:rPr>
          <w:rStyle w:val="Strong"/>
        </w:rPr>
        <w:t>Student Loan.</w:t>
      </w:r>
    </w:p>
    <w:p w14:paraId="51C58759" w14:textId="77777777" w:rsidR="00B96480" w:rsidRPr="006B65B9" w:rsidRDefault="00B96480" w:rsidP="008224D7">
      <w:pPr>
        <w:pStyle w:val="Heading5"/>
      </w:pPr>
      <w:r w:rsidRPr="006B65B9">
        <w:t>Becoming an Australian citizen</w:t>
      </w:r>
    </w:p>
    <w:p w14:paraId="21E6400B" w14:textId="77777777" w:rsidR="00B004A0" w:rsidRPr="00736F23" w:rsidRDefault="00B004A0" w:rsidP="00B004A0">
      <w:r w:rsidRPr="00736F23">
        <w:t xml:space="preserve">If a student gains Australian citizenship part way through their course, the student may be eligible for a VET student loan for </w:t>
      </w:r>
      <w:r>
        <w:t xml:space="preserve">those </w:t>
      </w:r>
      <w:r w:rsidRPr="00736F23">
        <w:t>part</w:t>
      </w:r>
      <w:r>
        <w:t>s</w:t>
      </w:r>
      <w:r w:rsidRPr="00736F23">
        <w:t xml:space="preserve"> of a course, yet to be completed, including </w:t>
      </w:r>
      <w:r>
        <w:t xml:space="preserve">for parts of a </w:t>
      </w:r>
      <w:r w:rsidRPr="00736F23">
        <w:t>course</w:t>
      </w:r>
      <w:r>
        <w:t>, which the student is</w:t>
      </w:r>
      <w:r w:rsidRPr="00736F23">
        <w:t xml:space="preserve"> currently enrolled in</w:t>
      </w:r>
      <w:r>
        <w:t>, for which</w:t>
      </w:r>
      <w:r w:rsidRPr="00736F23">
        <w:t xml:space="preserve"> the census dates have not passed.</w:t>
      </w:r>
    </w:p>
    <w:p w14:paraId="1933B041" w14:textId="77777777" w:rsidR="00983AE6" w:rsidRDefault="00983AE6" w:rsidP="00983AE6">
      <w:r w:rsidRPr="00736F23">
        <w:lastRenderedPageBreak/>
        <w:t xml:space="preserve">A person gains Australian citizenship only after making the pledge of commitment and being issued with Evidence of Australian Citizenship from </w:t>
      </w:r>
      <w:r w:rsidRPr="00487D52">
        <w:t xml:space="preserve">the </w:t>
      </w:r>
      <w:hyperlink r:id="rId73" w:history="1">
        <w:r w:rsidRPr="00AB5C01">
          <w:rPr>
            <w:rStyle w:val="Hyperlink"/>
          </w:rPr>
          <w:t>Department of Immigration and Border Protection</w:t>
        </w:r>
      </w:hyperlink>
      <w:r w:rsidRPr="00AB5C01">
        <w:rPr>
          <w:rStyle w:val="Hyperlink"/>
        </w:rPr>
        <w:t>.</w:t>
      </w:r>
      <w:r w:rsidRPr="00487D52">
        <w:t xml:space="preserve"> </w:t>
      </w:r>
      <w:r w:rsidRPr="00736F23">
        <w:t>For further information regarding Australian citizenship, contact the Department of Immigration and Border Protection.</w:t>
      </w:r>
    </w:p>
    <w:p w14:paraId="6EFD6150" w14:textId="5142CBC5" w:rsidR="00890BC8" w:rsidRDefault="00890BC8" w:rsidP="00983AE6">
      <w:r>
        <w:t>Please refer to ‘</w:t>
      </w:r>
      <w:hyperlink w:anchor="_Determining_citizenship_and_1" w:history="1">
        <w:r w:rsidRPr="0074390C">
          <w:rPr>
            <w:rStyle w:val="Hyperlink"/>
          </w:rPr>
          <w:t>Determining citizenship and visa status</w:t>
        </w:r>
      </w:hyperlink>
      <w:r>
        <w:t>’ below.</w:t>
      </w:r>
    </w:p>
    <w:p w14:paraId="18D6E988" w14:textId="77777777" w:rsidR="00983AE6" w:rsidRPr="006B65B9" w:rsidRDefault="00983AE6" w:rsidP="00D637A3">
      <w:pPr>
        <w:pStyle w:val="Heading5"/>
      </w:pPr>
      <w:bookmarkStart w:id="775" w:name="_Permanent_humanitarian_visa_1"/>
      <w:bookmarkStart w:id="776" w:name="_Toc462038564"/>
      <w:bookmarkStart w:id="777" w:name="_Toc471374373"/>
      <w:bookmarkStart w:id="778" w:name="_Toc481505197"/>
      <w:bookmarkStart w:id="779" w:name="_Toc483209511"/>
      <w:bookmarkStart w:id="780" w:name="_Toc483222840"/>
      <w:bookmarkEnd w:id="775"/>
      <w:r w:rsidRPr="006B65B9">
        <w:t>Permanent humanitarian visa holders</w:t>
      </w:r>
      <w:bookmarkEnd w:id="776"/>
      <w:bookmarkEnd w:id="777"/>
      <w:bookmarkEnd w:id="778"/>
      <w:bookmarkEnd w:id="779"/>
      <w:bookmarkEnd w:id="780"/>
    </w:p>
    <w:p w14:paraId="37C0EC49" w14:textId="77777777" w:rsidR="00001A2B" w:rsidRPr="00736F23" w:rsidRDefault="00001A2B" w:rsidP="00001A2B">
      <w:r w:rsidRPr="00736F23">
        <w:t xml:space="preserve">To confirm if the visa class held by a person applying for </w:t>
      </w:r>
      <w:r>
        <w:t xml:space="preserve">a </w:t>
      </w:r>
      <w:r w:rsidRPr="00736F23">
        <w:t>VET student loan is a permanent humanitarian visa contact</w:t>
      </w:r>
      <w:r>
        <w:t>,</w:t>
      </w:r>
      <w:r w:rsidRPr="00736F23">
        <w:t xml:space="preserve"> the Department of Immigration and Border Protection website at</w:t>
      </w:r>
      <w:r w:rsidRPr="0038150B">
        <w:t xml:space="preserve"> </w:t>
      </w:r>
      <w:hyperlink r:id="rId74" w:history="1">
        <w:r w:rsidRPr="00AB5C01">
          <w:rPr>
            <w:rStyle w:val="Hyperlink"/>
          </w:rPr>
          <w:t>www.border.gov.au/vevo</w:t>
        </w:r>
      </w:hyperlink>
      <w:r w:rsidRPr="00AB5C01">
        <w:t>.</w:t>
      </w:r>
      <w:r w:rsidRPr="00736F23">
        <w:t xml:space="preserve"> </w:t>
      </w:r>
    </w:p>
    <w:p w14:paraId="07C9C37A" w14:textId="77777777" w:rsidR="00983AE6" w:rsidRPr="00736F23" w:rsidRDefault="00983AE6" w:rsidP="00983AE6">
      <w:r w:rsidRPr="00736F23">
        <w:t>In determining whether a permanent humanitarian visa holder will be resident in Australia for the duration of their course, the provider must disregard any periods spent outside of Australia if the holder:</w:t>
      </w:r>
    </w:p>
    <w:p w14:paraId="625CD438" w14:textId="77777777" w:rsidR="00983AE6" w:rsidRPr="00736F23" w:rsidRDefault="00983AE6" w:rsidP="00983AE6">
      <w:pPr>
        <w:pStyle w:val="ListBullet"/>
      </w:pPr>
      <w:r w:rsidRPr="00736F23">
        <w:t>cannot be reasonably regarded as indicating an intention to reside outside of Australia for the duration of the course or</w:t>
      </w:r>
    </w:p>
    <w:p w14:paraId="1E464B54" w14:textId="77777777" w:rsidR="00983AE6" w:rsidRPr="00736F23" w:rsidRDefault="00983AE6" w:rsidP="00983AE6">
      <w:pPr>
        <w:pStyle w:val="ListBullet"/>
      </w:pPr>
      <w:r w:rsidRPr="00736F23">
        <w:t xml:space="preserve">is required to leave Australia to complete the requirements of that course. </w:t>
      </w:r>
    </w:p>
    <w:p w14:paraId="245C7742" w14:textId="77777777" w:rsidR="00983AE6" w:rsidRPr="006B65B9" w:rsidRDefault="00983AE6" w:rsidP="001A7160">
      <w:pPr>
        <w:pStyle w:val="Heading5"/>
      </w:pPr>
      <w:bookmarkStart w:id="781" w:name="_Qualifying_New_Zealand"/>
      <w:bookmarkStart w:id="782" w:name="_Toc471374374"/>
      <w:bookmarkStart w:id="783" w:name="_Toc481505198"/>
      <w:bookmarkStart w:id="784" w:name="_Toc483209512"/>
      <w:bookmarkStart w:id="785" w:name="_Toc483222841"/>
      <w:bookmarkEnd w:id="781"/>
      <w:r w:rsidRPr="006B65B9">
        <w:t>Qualifying New Zealand citizens</w:t>
      </w:r>
      <w:bookmarkEnd w:id="782"/>
      <w:bookmarkEnd w:id="783"/>
      <w:bookmarkEnd w:id="784"/>
      <w:bookmarkEnd w:id="785"/>
    </w:p>
    <w:p w14:paraId="0A57E317" w14:textId="77777777" w:rsidR="00983AE6" w:rsidRPr="00736F23" w:rsidRDefault="00983AE6" w:rsidP="00983AE6">
      <w:pPr>
        <w:rPr>
          <w:lang w:val="en"/>
        </w:rPr>
      </w:pPr>
      <w:r w:rsidRPr="00736F23">
        <w:t>A New Zealand</w:t>
      </w:r>
      <w:r w:rsidRPr="00736F23">
        <w:rPr>
          <w:lang w:val="en"/>
        </w:rPr>
        <w:t xml:space="preserve"> citizen is eligible if they hold a Special Category Visa and:</w:t>
      </w:r>
    </w:p>
    <w:p w14:paraId="68AFA11A" w14:textId="77777777" w:rsidR="00983AE6" w:rsidRPr="00736F23" w:rsidRDefault="00983AE6" w:rsidP="00983AE6">
      <w:pPr>
        <w:pStyle w:val="ListBullet"/>
        <w:rPr>
          <w:lang w:val="en"/>
        </w:rPr>
      </w:pPr>
      <w:r w:rsidRPr="00736F23">
        <w:rPr>
          <w:lang w:val="en"/>
        </w:rPr>
        <w:t>has usually been resident in Australia for at least 10 years; and</w:t>
      </w:r>
    </w:p>
    <w:p w14:paraId="34C441AE" w14:textId="77777777" w:rsidR="00983AE6" w:rsidRPr="00736F23" w:rsidRDefault="00983AE6" w:rsidP="00983AE6">
      <w:pPr>
        <w:pStyle w:val="ListBullet"/>
        <w:rPr>
          <w:lang w:val="en"/>
        </w:rPr>
      </w:pPr>
      <w:r w:rsidRPr="00736F23">
        <w:rPr>
          <w:lang w:val="en"/>
        </w:rPr>
        <w:t>was a dependent child aged under 18</w:t>
      </w:r>
      <w:r w:rsidRPr="00736F23">
        <w:rPr>
          <w:lang w:val="en"/>
        </w:rPr>
        <w:noBreakHyphen/>
        <w:t>years of age when he or she first was usually resident in Australia and</w:t>
      </w:r>
    </w:p>
    <w:p w14:paraId="681884E1" w14:textId="56B9BEAD" w:rsidR="00983AE6" w:rsidRPr="00736F23" w:rsidRDefault="00983AE6" w:rsidP="00983AE6">
      <w:pPr>
        <w:pStyle w:val="ListBullet"/>
        <w:rPr>
          <w:lang w:val="en"/>
        </w:rPr>
      </w:pPr>
      <w:r w:rsidRPr="00736F23">
        <w:rPr>
          <w:lang w:val="en"/>
        </w:rPr>
        <w:t>has been in Australia for periods tota</w:t>
      </w:r>
      <w:r w:rsidR="00001A2B">
        <w:rPr>
          <w:lang w:val="en"/>
        </w:rPr>
        <w:t>l</w:t>
      </w:r>
      <w:r w:rsidRPr="00736F23">
        <w:rPr>
          <w:lang w:val="en"/>
        </w:rPr>
        <w:t>ling 8 years during the previous 10 years and</w:t>
      </w:r>
    </w:p>
    <w:p w14:paraId="0FAE8F52" w14:textId="1F7C4A40" w:rsidR="00983AE6" w:rsidRPr="00736F23" w:rsidRDefault="00983AE6" w:rsidP="00983AE6">
      <w:pPr>
        <w:pStyle w:val="ListBullet"/>
        <w:rPr>
          <w:lang w:val="en"/>
        </w:rPr>
      </w:pPr>
      <w:r w:rsidRPr="00736F23">
        <w:rPr>
          <w:lang w:val="en"/>
        </w:rPr>
        <w:t>has been in Australian for periods tota</w:t>
      </w:r>
      <w:r w:rsidR="00001A2B">
        <w:rPr>
          <w:lang w:val="en"/>
        </w:rPr>
        <w:t>l</w:t>
      </w:r>
      <w:r w:rsidRPr="00736F23">
        <w:rPr>
          <w:lang w:val="en"/>
        </w:rPr>
        <w:t xml:space="preserve">ling 18 months during the previous 2 years </w:t>
      </w:r>
      <w:r w:rsidRPr="00AB5C01">
        <w:rPr>
          <w:rStyle w:val="ReferenceChar"/>
        </w:rPr>
        <w:t>[Act s 11)]</w:t>
      </w:r>
      <w:r w:rsidRPr="00736F23">
        <w:rPr>
          <w:lang w:val="en"/>
        </w:rPr>
        <w:t>.</w:t>
      </w:r>
    </w:p>
    <w:p w14:paraId="36BCFFA0" w14:textId="77777777" w:rsidR="00983AE6" w:rsidRPr="00736F23" w:rsidRDefault="00983AE6" w:rsidP="00983AE6">
      <w:r w:rsidRPr="00736F23">
        <w:t xml:space="preserve">Most New Zealand citizens who arrive in Australia are the holders of </w:t>
      </w:r>
      <w:r>
        <w:t xml:space="preserve">a </w:t>
      </w:r>
      <w:r w:rsidRPr="00736F23">
        <w:t>temporary visa called a Special Category Visa (SCV). This is not a permanent visa but allows its holder to visit, live and work in Australia indefinitely.</w:t>
      </w:r>
    </w:p>
    <w:p w14:paraId="0BA777DE" w14:textId="77777777" w:rsidR="00983AE6" w:rsidRPr="008C5A05" w:rsidRDefault="00983AE6" w:rsidP="00983AE6">
      <w:r w:rsidRPr="008C5A05">
        <w:t xml:space="preserve">Providers can also find information about HELP eligibility criteria for New Zealand Special Category Visa Holders at </w:t>
      </w:r>
      <w:hyperlink r:id="rId75" w:history="1">
        <w:r w:rsidRPr="00AB5C01">
          <w:rPr>
            <w:rStyle w:val="Hyperlink"/>
          </w:rPr>
          <w:t>www.education.gov.au/faqs-new-zealand-special-category-visa-holders</w:t>
        </w:r>
      </w:hyperlink>
      <w:r w:rsidRPr="008C5A05">
        <w:t>.</w:t>
      </w:r>
    </w:p>
    <w:p w14:paraId="32AE31DA" w14:textId="77777777" w:rsidR="00983AE6" w:rsidRPr="00736F23" w:rsidRDefault="00983AE6" w:rsidP="00983AE6">
      <w:pPr>
        <w:rPr>
          <w:lang w:val="en"/>
        </w:rPr>
      </w:pPr>
      <w:r w:rsidRPr="00736F23">
        <w:rPr>
          <w:lang w:val="en"/>
        </w:rPr>
        <w:t>Other permanent residents/permanent visa holders are NOT eligible for a VET student loan</w:t>
      </w:r>
      <w:r>
        <w:rPr>
          <w:lang w:val="en"/>
        </w:rPr>
        <w:t>.</w:t>
      </w:r>
    </w:p>
    <w:p w14:paraId="0CD7C66D" w14:textId="77777777" w:rsidR="002663D4" w:rsidRPr="006B65B9" w:rsidRDefault="00983AE6" w:rsidP="001A7160">
      <w:pPr>
        <w:pStyle w:val="Heading5"/>
      </w:pPr>
      <w:bookmarkStart w:id="786" w:name="_Determining_citizenship_and"/>
      <w:bookmarkStart w:id="787" w:name="_FEE-HELP_limit"/>
      <w:bookmarkStart w:id="788" w:name="_Toc341953473"/>
      <w:bookmarkStart w:id="789" w:name="_Toc372271271"/>
      <w:bookmarkStart w:id="790" w:name="_Toc372552511"/>
      <w:bookmarkStart w:id="791" w:name="_Toc470094596"/>
      <w:bookmarkStart w:id="792" w:name="_Toc481505200"/>
      <w:bookmarkStart w:id="793" w:name="_Toc483209514"/>
      <w:bookmarkStart w:id="794" w:name="_Toc483222843"/>
      <w:bookmarkEnd w:id="786"/>
      <w:bookmarkEnd w:id="787"/>
      <w:r w:rsidRPr="006B65B9">
        <w:t xml:space="preserve">FEE-HELP limit </w:t>
      </w:r>
    </w:p>
    <w:bookmarkEnd w:id="788"/>
    <w:bookmarkEnd w:id="789"/>
    <w:bookmarkEnd w:id="790"/>
    <w:bookmarkEnd w:id="791"/>
    <w:bookmarkEnd w:id="792"/>
    <w:bookmarkEnd w:id="793"/>
    <w:bookmarkEnd w:id="794"/>
    <w:p w14:paraId="6384234D" w14:textId="755B8E17" w:rsidR="00983AE6" w:rsidRPr="00736F23" w:rsidRDefault="00983AE6" w:rsidP="00983AE6">
      <w:r w:rsidRPr="00736F23">
        <w:t>There is a set maximum amount a person can borrow over their lifetime for VET Student Loans</w:t>
      </w:r>
      <w:r w:rsidR="00560060">
        <w:t>, VET </w:t>
      </w:r>
      <w:r>
        <w:t>FEE-HELP</w:t>
      </w:r>
      <w:r w:rsidRPr="00736F23">
        <w:t xml:space="preserve"> and FEE-HELP. This is known as the FEE-HELP limit </w:t>
      </w:r>
      <w:r w:rsidRPr="00E1014C">
        <w:rPr>
          <w:rStyle w:val="ReferenceChar"/>
        </w:rPr>
        <w:t>[</w:t>
      </w:r>
      <w:r w:rsidR="00001A2B">
        <w:rPr>
          <w:rStyle w:val="ReferenceChar"/>
          <w:i/>
        </w:rPr>
        <w:t xml:space="preserve">HESA </w:t>
      </w:r>
      <w:r w:rsidR="000F3B8D">
        <w:rPr>
          <w:rStyle w:val="ReferenceChar"/>
        </w:rPr>
        <w:t>s 104</w:t>
      </w:r>
      <w:r w:rsidR="000F3B8D">
        <w:rPr>
          <w:rStyle w:val="ReferenceChar"/>
        </w:rPr>
        <w:noBreakHyphen/>
      </w:r>
      <w:r w:rsidRPr="00E1014C">
        <w:rPr>
          <w:rStyle w:val="ReferenceChar"/>
        </w:rPr>
        <w:t>20]</w:t>
      </w:r>
      <w:r w:rsidRPr="00322F3C">
        <w:t xml:space="preserve">. </w:t>
      </w:r>
    </w:p>
    <w:p w14:paraId="5F4B2ED1" w14:textId="77777777" w:rsidR="00983AE6" w:rsidRPr="00736F23" w:rsidRDefault="00983AE6" w:rsidP="00983AE6">
      <w:r w:rsidRPr="00736F23">
        <w:t>Students are able to access VET Student Loans to pay the amount of any tuition fees</w:t>
      </w:r>
      <w:r>
        <w:t xml:space="preserve"> for a course</w:t>
      </w:r>
      <w:r w:rsidRPr="00736F23">
        <w:t xml:space="preserve"> up to the designated loan cap band</w:t>
      </w:r>
      <w:r>
        <w:t>,</w:t>
      </w:r>
      <w:r w:rsidRPr="00736F23">
        <w:t xml:space="preserve"> provided the amount does not exceed the</w:t>
      </w:r>
      <w:r>
        <w:t>ir</w:t>
      </w:r>
      <w:r w:rsidRPr="00736F23">
        <w:t xml:space="preserve"> FEE-HELP limit. The department publishes the FEE</w:t>
      </w:r>
      <w:r w:rsidRPr="00736F23">
        <w:noBreakHyphen/>
        <w:t xml:space="preserve">HELP limit in the student information booklets and on the </w:t>
      </w:r>
      <w:r w:rsidRPr="00736F23">
        <w:rPr>
          <w:i/>
        </w:rPr>
        <w:t>Study Assist</w:t>
      </w:r>
      <w:r w:rsidRPr="00736F23">
        <w:t xml:space="preserve"> website at </w:t>
      </w:r>
      <w:hyperlink r:id="rId76" w:history="1">
        <w:r w:rsidRPr="00E1014C">
          <w:rPr>
            <w:rStyle w:val="Hyperlink"/>
          </w:rPr>
          <w:t>www.studyassist.gov.au</w:t>
        </w:r>
      </w:hyperlink>
      <w:r w:rsidRPr="00736F23">
        <w:t>.</w:t>
      </w:r>
    </w:p>
    <w:p w14:paraId="624FECB4" w14:textId="77777777" w:rsidR="00983AE6" w:rsidRDefault="00983AE6" w:rsidP="00983AE6">
      <w:r w:rsidRPr="00736F23">
        <w:t>As a person uses VET Student Loans</w:t>
      </w:r>
      <w:r>
        <w:t>, VET FEE-HELP</w:t>
      </w:r>
      <w:r w:rsidRPr="00736F23">
        <w:t xml:space="preserve"> or FEE-HELP to pay their tuition fees, the amount they may borrow in the future is reduced. Once a person has borrowed an amount equal to the FEE</w:t>
      </w:r>
      <w:r w:rsidRPr="00736F23">
        <w:noBreakHyphen/>
        <w:t>HELP limit, they are no longer eligible for VET Student Loans</w:t>
      </w:r>
      <w:r>
        <w:t>, VET FEE-HELP</w:t>
      </w:r>
      <w:r w:rsidRPr="00736F23">
        <w:t xml:space="preserve"> or FEE-HELP to pay further tuition fees. This applies even if a person has partially or fully repaid their VET Student Loans</w:t>
      </w:r>
      <w:r>
        <w:t>, VET FEE-HELP</w:t>
      </w:r>
      <w:r w:rsidRPr="00736F23">
        <w:t xml:space="preserve"> or FEE-HELP debt.</w:t>
      </w:r>
    </w:p>
    <w:p w14:paraId="2F389AFF" w14:textId="77777777" w:rsidR="00B42ED8" w:rsidRPr="00736F23" w:rsidRDefault="00B035B7" w:rsidP="00B907EC">
      <w:pPr>
        <w:ind w:left="-284"/>
        <w:jc w:val="center"/>
      </w:pPr>
      <w:r>
        <w:rPr>
          <w:noProof/>
          <w:lang w:eastAsia="en-AU"/>
        </w:rPr>
        <w:lastRenderedPageBreak/>
        <w:drawing>
          <wp:inline distT="0" distB="0" distL="0" distR="0" wp14:anchorId="0E89DEB3" wp14:editId="7A8B8A10">
            <wp:extent cx="4038600" cy="1504433"/>
            <wp:effectExtent l="0" t="0" r="0" b="635"/>
            <wp:docPr id="14" name="Picture 14" descr="Example A) &#10;How to calculate a FEE-HELP balance&#10;&#10;Example B) &#10;How to calculate VET Student loans debt" title="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4050730" cy="1508952"/>
                    </a:xfrm>
                    <a:prstGeom prst="rect">
                      <a:avLst/>
                    </a:prstGeom>
                  </pic:spPr>
                </pic:pic>
              </a:graphicData>
            </a:graphic>
          </wp:inline>
        </w:drawing>
      </w:r>
    </w:p>
    <w:p w14:paraId="299EE7CE" w14:textId="77777777" w:rsidR="00983AE6" w:rsidRPr="00736F23" w:rsidRDefault="00983AE6" w:rsidP="00983AE6">
      <w:r w:rsidRPr="00736F23">
        <w:t>The FEE-HELP limit is indexed on 1 January each year. If a person has reached their FEE</w:t>
      </w:r>
      <w:r w:rsidRPr="00736F23">
        <w:noBreakHyphen/>
        <w:t xml:space="preserve">HELP limit in a particular year and wishes to enrol in a subsequent or later years they will be able to access </w:t>
      </w:r>
      <w:r>
        <w:t>any balance remaining up to</w:t>
      </w:r>
      <w:r w:rsidRPr="00736F23">
        <w:t xml:space="preserve"> the FEE-HELP limit</w:t>
      </w:r>
      <w:r>
        <w:t>, subject to the remaining loan cap for their course</w:t>
      </w:r>
      <w:r w:rsidRPr="00736F23">
        <w:t>. The FEE-HELP limit is a lifetime limit and is not ‘topped up’ by making repayments towards a debt.</w:t>
      </w:r>
    </w:p>
    <w:p w14:paraId="499C4F96" w14:textId="77777777" w:rsidR="00983AE6" w:rsidRPr="006B65B9" w:rsidRDefault="00983AE6" w:rsidP="001F16FF">
      <w:pPr>
        <w:pStyle w:val="Heading5"/>
      </w:pPr>
      <w:bookmarkStart w:id="795" w:name="_FEE-HELP_balance"/>
      <w:bookmarkStart w:id="796" w:name="_FEE-HELP_balance_1"/>
      <w:bookmarkStart w:id="797" w:name="_Toc481505201"/>
      <w:bookmarkStart w:id="798" w:name="_Toc483209515"/>
      <w:bookmarkStart w:id="799" w:name="_Toc483222844"/>
      <w:bookmarkEnd w:id="795"/>
      <w:bookmarkEnd w:id="796"/>
      <w:r w:rsidRPr="006B65B9">
        <w:t>FEE-HELP balance</w:t>
      </w:r>
      <w:bookmarkEnd w:id="797"/>
      <w:bookmarkEnd w:id="798"/>
      <w:bookmarkEnd w:id="799"/>
    </w:p>
    <w:p w14:paraId="0CA60FCD" w14:textId="77777777" w:rsidR="00983AE6" w:rsidRPr="00736F23" w:rsidRDefault="00983AE6" w:rsidP="00983AE6">
      <w:r w:rsidRPr="00736F23">
        <w:t>A person’s FEE-HELP balance is the limit subtracting any VET Student Loans</w:t>
      </w:r>
      <w:r w:rsidR="00560060">
        <w:t xml:space="preserve"> and other HELP loans (VET </w:t>
      </w:r>
      <w:r>
        <w:t>FEE</w:t>
      </w:r>
      <w:r>
        <w:noBreakHyphen/>
        <w:t>HELP</w:t>
      </w:r>
      <w:r w:rsidRPr="00736F23">
        <w:t xml:space="preserve"> and FEE</w:t>
      </w:r>
      <w:r w:rsidRPr="00736F23">
        <w:noBreakHyphen/>
        <w:t>HELP loans</w:t>
      </w:r>
      <w:r>
        <w:t>)</w:t>
      </w:r>
      <w:r w:rsidRPr="00736F23">
        <w:t xml:space="preserve"> they have used. Loan fees and indexation of outstanding debts are not included in a person’s FEE-HELP balance.</w:t>
      </w:r>
    </w:p>
    <w:p w14:paraId="59B8EAF0" w14:textId="77777777" w:rsidR="00983AE6" w:rsidRPr="00736F23" w:rsidRDefault="00983AE6" w:rsidP="00983AE6">
      <w:r w:rsidRPr="00736F23">
        <w:t>It is the provider’s responsibility to ensure</w:t>
      </w:r>
      <w:r>
        <w:t xml:space="preserve"> a student’s</w:t>
      </w:r>
      <w:r w:rsidRPr="00736F23">
        <w:t xml:space="preserve"> entitlement to VET Student Loans, including confirming whether or not </w:t>
      </w:r>
      <w:r>
        <w:t xml:space="preserve">the </w:t>
      </w:r>
      <w:r w:rsidRPr="00736F23">
        <w:t>student ha</w:t>
      </w:r>
      <w:r>
        <w:t>s</w:t>
      </w:r>
      <w:r w:rsidRPr="00736F23">
        <w:t xml:space="preserve"> accessed a VET student loan for parts of courses or units of study that may not have been reported at the time of enrolment. It is the responsibility of the provider to put in place enrolment procedures to check if a student is likely to exceed their FEE-HELP </w:t>
      </w:r>
      <w:r>
        <w:t>limit</w:t>
      </w:r>
      <w:r w:rsidRPr="00736F23">
        <w:t>.</w:t>
      </w:r>
    </w:p>
    <w:p w14:paraId="3AF28ECA" w14:textId="77777777" w:rsidR="00983AE6" w:rsidRPr="00B907EC" w:rsidRDefault="00983AE6" w:rsidP="00B907EC">
      <w:pPr>
        <w:pStyle w:val="Heading5"/>
        <w:pBdr>
          <w:top w:val="single" w:sz="4" w:space="1" w:color="auto"/>
          <w:left w:val="single" w:sz="4" w:space="4" w:color="auto"/>
          <w:bottom w:val="single" w:sz="4" w:space="1" w:color="auto"/>
          <w:right w:val="single" w:sz="4" w:space="4" w:color="auto"/>
        </w:pBdr>
        <w:shd w:val="clear" w:color="auto" w:fill="F2F2F2" w:themeFill="background1" w:themeFillShade="F2"/>
        <w:rPr>
          <w:rStyle w:val="Emphasis"/>
        </w:rPr>
      </w:pPr>
      <w:r w:rsidRPr="00B907EC">
        <w:rPr>
          <w:rStyle w:val="Emphasis"/>
        </w:rPr>
        <w:t>Example</w:t>
      </w:r>
    </w:p>
    <w:p w14:paraId="065CB321" w14:textId="6233566A" w:rsidR="00983AE6" w:rsidRPr="00736F23" w:rsidRDefault="00983AE6" w:rsidP="00B907EC">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736F23">
        <w:t>Betty is a full fee paying student who has a remaining FEE-HELP balance of $</w:t>
      </w:r>
      <w:r w:rsidR="00D62D04">
        <w:t>2</w:t>
      </w:r>
      <w:r w:rsidRPr="00736F23">
        <w:t xml:space="preserve">,000. </w:t>
      </w:r>
      <w:r>
        <w:t xml:space="preserve">She enrols in </w:t>
      </w:r>
      <w:r w:rsidRPr="00736F23">
        <w:t xml:space="preserve">four units of study with the same census date. The tuition fee for each unit of study is $600. </w:t>
      </w:r>
      <w:r w:rsidR="00672F44">
        <w:t>Even though the total amount of tuition fees for the units is $2,400, Betty is only entitled to $2,000.</w:t>
      </w:r>
    </w:p>
    <w:p w14:paraId="2D50A100" w14:textId="77777777" w:rsidR="00983AE6" w:rsidRDefault="00983AE6" w:rsidP="00B907EC">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736F23">
        <w:t>Betty would need to pay the balance of $400 to her provider</w:t>
      </w:r>
      <w:r>
        <w:t xml:space="preserve"> and will not be able to access further loans until indexation is applied to the FEE-HELP limit (from 1 January of the following year) when she would have a small increase to her FEE-HELP limit based on indexation.</w:t>
      </w:r>
    </w:p>
    <w:tbl>
      <w:tblPr>
        <w:tblStyle w:val="PlainTable41"/>
        <w:tblW w:w="0" w:type="auto"/>
        <w:tblLook w:val="04A0" w:firstRow="1" w:lastRow="0" w:firstColumn="1" w:lastColumn="0" w:noHBand="0" w:noVBand="1"/>
      </w:tblPr>
      <w:tblGrid>
        <w:gridCol w:w="5495"/>
        <w:gridCol w:w="2126"/>
        <w:gridCol w:w="1779"/>
      </w:tblGrid>
      <w:tr w:rsidR="00CF57BC" w:rsidRPr="002E48AD" w14:paraId="08DAA847" w14:textId="77777777" w:rsidTr="0028499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tcBorders>
          </w:tcPr>
          <w:p w14:paraId="55B87B70" w14:textId="1DA5A909" w:rsidR="00061E3C" w:rsidRPr="002E48AD" w:rsidRDefault="002E48AD" w:rsidP="00684EFE">
            <w:r>
              <w:t>Transaction</w:t>
            </w:r>
          </w:p>
        </w:tc>
        <w:tc>
          <w:tcPr>
            <w:tcW w:w="2126" w:type="dxa"/>
            <w:tcBorders>
              <w:top w:val="single" w:sz="4" w:space="0" w:color="auto"/>
              <w:bottom w:val="single" w:sz="4" w:space="0" w:color="auto"/>
            </w:tcBorders>
          </w:tcPr>
          <w:p w14:paraId="21644B16" w14:textId="668711A6" w:rsidR="00061E3C" w:rsidRPr="002E48AD" w:rsidRDefault="00D8351A" w:rsidP="00061E3C">
            <w:pPr>
              <w:jc w:val="right"/>
              <w:cnfStyle w:val="100000000000" w:firstRow="1" w:lastRow="0" w:firstColumn="0" w:lastColumn="0" w:oddVBand="0" w:evenVBand="0" w:oddHBand="0" w:evenHBand="0" w:firstRowFirstColumn="0" w:firstRowLastColumn="0" w:lastRowFirstColumn="0" w:lastRowLastColumn="0"/>
            </w:pPr>
            <w:r>
              <w:t>Loans accessed</w:t>
            </w:r>
            <w:r w:rsidR="002E48AD">
              <w:t xml:space="preserve"> ($)</w:t>
            </w:r>
          </w:p>
        </w:tc>
        <w:tc>
          <w:tcPr>
            <w:tcW w:w="1779" w:type="dxa"/>
            <w:tcBorders>
              <w:top w:val="single" w:sz="4" w:space="0" w:color="auto"/>
              <w:bottom w:val="single" w:sz="4" w:space="0" w:color="auto"/>
              <w:right w:val="single" w:sz="4" w:space="0" w:color="auto"/>
            </w:tcBorders>
          </w:tcPr>
          <w:p w14:paraId="1FA144D7" w14:textId="686A23C1" w:rsidR="00061E3C" w:rsidRPr="0028499D" w:rsidRDefault="002E48AD" w:rsidP="00061E3C">
            <w:pPr>
              <w:jc w:val="right"/>
              <w:cnfStyle w:val="100000000000" w:firstRow="1" w:lastRow="0" w:firstColumn="0" w:lastColumn="0" w:oddVBand="0" w:evenVBand="0" w:oddHBand="0" w:evenHBand="0" w:firstRowFirstColumn="0" w:firstRowLastColumn="0" w:lastRowFirstColumn="0" w:lastRowLastColumn="0"/>
            </w:pPr>
            <w:r w:rsidRPr="002E48AD">
              <w:t>Balance</w:t>
            </w:r>
            <w:r>
              <w:t xml:space="preserve"> ($)</w:t>
            </w:r>
          </w:p>
        </w:tc>
      </w:tr>
      <w:tr w:rsidR="002E48AD" w14:paraId="07072126" w14:textId="77777777" w:rsidTr="0028499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tcBorders>
            <w:shd w:val="clear" w:color="auto" w:fill="D9D9D9" w:themeFill="background1" w:themeFillShade="D9"/>
          </w:tcPr>
          <w:p w14:paraId="477659CC" w14:textId="4BE5BC54" w:rsidR="00061E3C" w:rsidRPr="0028499D" w:rsidRDefault="00061E3C" w:rsidP="00684EFE">
            <w:pPr>
              <w:rPr>
                <w:b w:val="0"/>
              </w:rPr>
            </w:pPr>
            <w:r w:rsidRPr="00061E3C">
              <w:t>FEE-HELP Limit (2017)</w:t>
            </w:r>
          </w:p>
        </w:tc>
        <w:tc>
          <w:tcPr>
            <w:tcW w:w="2126" w:type="dxa"/>
            <w:tcBorders>
              <w:top w:val="single" w:sz="4" w:space="0" w:color="auto"/>
            </w:tcBorders>
            <w:shd w:val="clear" w:color="auto" w:fill="D9D9D9" w:themeFill="background1" w:themeFillShade="D9"/>
          </w:tcPr>
          <w:p w14:paraId="225FD52E" w14:textId="77777777" w:rsidR="00061E3C" w:rsidRDefault="00061E3C" w:rsidP="00061E3C">
            <w:pPr>
              <w:jc w:val="right"/>
              <w:cnfStyle w:val="000000100000" w:firstRow="0" w:lastRow="0" w:firstColumn="0" w:lastColumn="0" w:oddVBand="0" w:evenVBand="0" w:oddHBand="1" w:evenHBand="0" w:firstRowFirstColumn="0" w:firstRowLastColumn="0" w:lastRowFirstColumn="0" w:lastRowLastColumn="0"/>
            </w:pPr>
          </w:p>
        </w:tc>
        <w:tc>
          <w:tcPr>
            <w:tcW w:w="1779" w:type="dxa"/>
            <w:tcBorders>
              <w:top w:val="single" w:sz="4" w:space="0" w:color="auto"/>
              <w:right w:val="single" w:sz="4" w:space="0" w:color="auto"/>
            </w:tcBorders>
            <w:shd w:val="clear" w:color="auto" w:fill="D9D9D9" w:themeFill="background1" w:themeFillShade="D9"/>
          </w:tcPr>
          <w:p w14:paraId="51821908" w14:textId="4776BFF3" w:rsidR="00061E3C" w:rsidRPr="0028499D" w:rsidRDefault="00061E3C" w:rsidP="00061E3C">
            <w:pPr>
              <w:jc w:val="right"/>
              <w:cnfStyle w:val="000000100000" w:firstRow="0" w:lastRow="0" w:firstColumn="0" w:lastColumn="0" w:oddVBand="0" w:evenVBand="0" w:oddHBand="1" w:evenHBand="0" w:firstRowFirstColumn="0" w:firstRowLastColumn="0" w:lastRowFirstColumn="0" w:lastRowLastColumn="0"/>
            </w:pPr>
            <w:r w:rsidRPr="002E48AD">
              <w:t>100,879</w:t>
            </w:r>
          </w:p>
        </w:tc>
      </w:tr>
      <w:tr w:rsidR="00061E3C" w14:paraId="0613F9AF" w14:textId="77777777" w:rsidTr="0028499D">
        <w:trPr>
          <w:trHeight w:val="363"/>
        </w:trPr>
        <w:tc>
          <w:tcPr>
            <w:cnfStyle w:val="001000000000" w:firstRow="0" w:lastRow="0" w:firstColumn="1" w:lastColumn="0" w:oddVBand="0" w:evenVBand="0" w:oddHBand="0" w:evenHBand="0" w:firstRowFirstColumn="0" w:firstRowLastColumn="0" w:lastRowFirstColumn="0" w:lastRowLastColumn="0"/>
            <w:tcW w:w="5495" w:type="dxa"/>
            <w:tcBorders>
              <w:left w:val="single" w:sz="4" w:space="0" w:color="auto"/>
            </w:tcBorders>
            <w:shd w:val="clear" w:color="auto" w:fill="auto"/>
          </w:tcPr>
          <w:p w14:paraId="378F6F18" w14:textId="4A9894EA" w:rsidR="00061E3C" w:rsidRPr="0028499D" w:rsidRDefault="00061E3C" w:rsidP="00684EFE">
            <w:pPr>
              <w:rPr>
                <w:b w:val="0"/>
              </w:rPr>
            </w:pPr>
            <w:r w:rsidRPr="00061E3C">
              <w:t>FEE-HELP amount used</w:t>
            </w:r>
            <w:r w:rsidR="002E48AD">
              <w:rPr>
                <w:b w:val="0"/>
              </w:rPr>
              <w:t xml:space="preserve"> during previous study</w:t>
            </w:r>
          </w:p>
        </w:tc>
        <w:tc>
          <w:tcPr>
            <w:tcW w:w="2126" w:type="dxa"/>
            <w:shd w:val="clear" w:color="auto" w:fill="auto"/>
          </w:tcPr>
          <w:p w14:paraId="14A5BFB7" w14:textId="456E7254" w:rsidR="00061E3C" w:rsidRDefault="00061E3C" w:rsidP="00061E3C">
            <w:pPr>
              <w:jc w:val="right"/>
              <w:cnfStyle w:val="000000000000" w:firstRow="0" w:lastRow="0" w:firstColumn="0" w:lastColumn="0" w:oddVBand="0" w:evenVBand="0" w:oddHBand="0" w:evenHBand="0" w:firstRowFirstColumn="0" w:firstRowLastColumn="0" w:lastRowFirstColumn="0" w:lastRowLastColumn="0"/>
            </w:pPr>
            <w:r w:rsidRPr="0028499D">
              <w:rPr>
                <w:color w:val="C00000"/>
              </w:rPr>
              <w:t>-</w:t>
            </w:r>
            <w:r w:rsidR="0044609E">
              <w:rPr>
                <w:color w:val="C00000"/>
              </w:rPr>
              <w:t xml:space="preserve"> </w:t>
            </w:r>
            <w:r w:rsidRPr="0028499D">
              <w:rPr>
                <w:color w:val="C00000"/>
              </w:rPr>
              <w:t>98,879</w:t>
            </w:r>
          </w:p>
        </w:tc>
        <w:tc>
          <w:tcPr>
            <w:tcW w:w="1779" w:type="dxa"/>
            <w:tcBorders>
              <w:right w:val="single" w:sz="4" w:space="0" w:color="auto"/>
            </w:tcBorders>
            <w:shd w:val="clear" w:color="auto" w:fill="auto"/>
          </w:tcPr>
          <w:p w14:paraId="0B69AD58" w14:textId="77777777" w:rsidR="002E48AD" w:rsidRDefault="002E48AD" w:rsidP="00061E3C">
            <w:pPr>
              <w:jc w:val="right"/>
              <w:cnfStyle w:val="000000000000" w:firstRow="0" w:lastRow="0" w:firstColumn="0" w:lastColumn="0" w:oddVBand="0" w:evenVBand="0" w:oddHBand="0" w:evenHBand="0" w:firstRowFirstColumn="0" w:firstRowLastColumn="0" w:lastRowFirstColumn="0" w:lastRowLastColumn="0"/>
            </w:pPr>
          </w:p>
          <w:p w14:paraId="35B89AB6" w14:textId="376A7DD2" w:rsidR="00061E3C" w:rsidRPr="0028499D" w:rsidRDefault="002E48AD" w:rsidP="00061E3C">
            <w:pPr>
              <w:jc w:val="right"/>
              <w:cnfStyle w:val="000000000000" w:firstRow="0" w:lastRow="0" w:firstColumn="0" w:lastColumn="0" w:oddVBand="0" w:evenVBand="0" w:oddHBand="0" w:evenHBand="0" w:firstRowFirstColumn="0" w:firstRowLastColumn="0" w:lastRowFirstColumn="0" w:lastRowLastColumn="0"/>
            </w:pPr>
            <w:r w:rsidRPr="0028499D">
              <w:t>2,000</w:t>
            </w:r>
          </w:p>
        </w:tc>
      </w:tr>
      <w:tr w:rsidR="006513F6" w14:paraId="1FF7DBCC" w14:textId="77777777" w:rsidTr="0028499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495" w:type="dxa"/>
            <w:tcBorders>
              <w:left w:val="single" w:sz="4" w:space="0" w:color="auto"/>
            </w:tcBorders>
            <w:shd w:val="clear" w:color="auto" w:fill="D9D9D9" w:themeFill="background1" w:themeFillShade="D9"/>
          </w:tcPr>
          <w:p w14:paraId="0339D323" w14:textId="626EED8D" w:rsidR="00061E3C" w:rsidRPr="0028499D" w:rsidRDefault="00061E3C" w:rsidP="00684EFE">
            <w:pPr>
              <w:rPr>
                <w:b w:val="0"/>
              </w:rPr>
            </w:pPr>
            <w:r w:rsidRPr="00061E3C">
              <w:t>Tuition fee – Unit 1</w:t>
            </w:r>
            <w:r w:rsidR="000B5348">
              <w:t xml:space="preserve"> – loan amount</w:t>
            </w:r>
          </w:p>
        </w:tc>
        <w:tc>
          <w:tcPr>
            <w:tcW w:w="2126" w:type="dxa"/>
            <w:shd w:val="clear" w:color="auto" w:fill="D9D9D9" w:themeFill="background1" w:themeFillShade="D9"/>
          </w:tcPr>
          <w:p w14:paraId="5C65A747" w14:textId="009DBD94" w:rsidR="00061E3C" w:rsidRDefault="00061E3C" w:rsidP="00061E3C">
            <w:pPr>
              <w:jc w:val="right"/>
              <w:cnfStyle w:val="000000100000" w:firstRow="0" w:lastRow="0" w:firstColumn="0" w:lastColumn="0" w:oddVBand="0" w:evenVBand="0" w:oddHBand="1" w:evenHBand="0" w:firstRowFirstColumn="0" w:firstRowLastColumn="0" w:lastRowFirstColumn="0" w:lastRowLastColumn="0"/>
            </w:pPr>
            <w:r w:rsidRPr="0028499D">
              <w:rPr>
                <w:color w:val="C00000"/>
              </w:rPr>
              <w:t>-</w:t>
            </w:r>
            <w:r w:rsidR="009133BA">
              <w:rPr>
                <w:color w:val="C00000"/>
              </w:rPr>
              <w:t xml:space="preserve"> </w:t>
            </w:r>
            <w:r w:rsidRPr="0028499D">
              <w:rPr>
                <w:color w:val="C00000"/>
              </w:rPr>
              <w:t>600</w:t>
            </w:r>
          </w:p>
        </w:tc>
        <w:tc>
          <w:tcPr>
            <w:tcW w:w="1779" w:type="dxa"/>
            <w:tcBorders>
              <w:right w:val="single" w:sz="4" w:space="0" w:color="auto"/>
            </w:tcBorders>
            <w:shd w:val="clear" w:color="auto" w:fill="D9D9D9" w:themeFill="background1" w:themeFillShade="D9"/>
          </w:tcPr>
          <w:p w14:paraId="79387102" w14:textId="77777777" w:rsidR="00061E3C" w:rsidRDefault="00061E3C" w:rsidP="00061E3C">
            <w:pPr>
              <w:jc w:val="right"/>
              <w:cnfStyle w:val="000000100000" w:firstRow="0" w:lastRow="0" w:firstColumn="0" w:lastColumn="0" w:oddVBand="0" w:evenVBand="0" w:oddHBand="1" w:evenHBand="0" w:firstRowFirstColumn="0" w:firstRowLastColumn="0" w:lastRowFirstColumn="0" w:lastRowLastColumn="0"/>
            </w:pPr>
          </w:p>
          <w:p w14:paraId="42CF2629" w14:textId="14DA0BBF" w:rsidR="002E48AD" w:rsidRPr="0028499D" w:rsidRDefault="002E48AD">
            <w:pPr>
              <w:jc w:val="right"/>
              <w:cnfStyle w:val="000000100000" w:firstRow="0" w:lastRow="0" w:firstColumn="0" w:lastColumn="0" w:oddVBand="0" w:evenVBand="0" w:oddHBand="1" w:evenHBand="0" w:firstRowFirstColumn="0" w:firstRowLastColumn="0" w:lastRowFirstColumn="0" w:lastRowLastColumn="0"/>
            </w:pPr>
            <w:r>
              <w:t>1,400</w:t>
            </w:r>
          </w:p>
        </w:tc>
      </w:tr>
      <w:tr w:rsidR="002E48AD" w14:paraId="36CB485B" w14:textId="77777777" w:rsidTr="0028499D">
        <w:trPr>
          <w:trHeight w:val="193"/>
        </w:trPr>
        <w:tc>
          <w:tcPr>
            <w:cnfStyle w:val="001000000000" w:firstRow="0" w:lastRow="0" w:firstColumn="1" w:lastColumn="0" w:oddVBand="0" w:evenVBand="0" w:oddHBand="0" w:evenHBand="0" w:firstRowFirstColumn="0" w:firstRowLastColumn="0" w:lastRowFirstColumn="0" w:lastRowLastColumn="0"/>
            <w:tcW w:w="5495" w:type="dxa"/>
            <w:tcBorders>
              <w:left w:val="single" w:sz="4" w:space="0" w:color="auto"/>
            </w:tcBorders>
            <w:shd w:val="clear" w:color="auto" w:fill="auto"/>
          </w:tcPr>
          <w:p w14:paraId="02B7DFFA" w14:textId="5757E7E6" w:rsidR="00061E3C" w:rsidRPr="0028499D" w:rsidRDefault="00061E3C" w:rsidP="00684EFE">
            <w:pPr>
              <w:rPr>
                <w:b w:val="0"/>
              </w:rPr>
            </w:pPr>
            <w:r w:rsidRPr="00061E3C">
              <w:t>Tuition fee – Unit 2</w:t>
            </w:r>
            <w:r w:rsidR="000B5348">
              <w:t xml:space="preserve"> – loan amount</w:t>
            </w:r>
          </w:p>
        </w:tc>
        <w:tc>
          <w:tcPr>
            <w:tcW w:w="2126" w:type="dxa"/>
            <w:shd w:val="clear" w:color="auto" w:fill="auto"/>
          </w:tcPr>
          <w:p w14:paraId="63183C81" w14:textId="66BCF1C8" w:rsidR="00061E3C" w:rsidRDefault="009133BA" w:rsidP="00061E3C">
            <w:pPr>
              <w:jc w:val="right"/>
              <w:cnfStyle w:val="000000000000" w:firstRow="0" w:lastRow="0" w:firstColumn="0" w:lastColumn="0" w:oddVBand="0" w:evenVBand="0" w:oddHBand="0" w:evenHBand="0" w:firstRowFirstColumn="0" w:firstRowLastColumn="0" w:lastRowFirstColumn="0" w:lastRowLastColumn="0"/>
            </w:pPr>
            <w:r w:rsidRPr="0035075A">
              <w:rPr>
                <w:color w:val="C00000"/>
              </w:rPr>
              <w:t>-</w:t>
            </w:r>
            <w:r>
              <w:rPr>
                <w:color w:val="C00000"/>
              </w:rPr>
              <w:t xml:space="preserve"> </w:t>
            </w:r>
            <w:r w:rsidRPr="0035075A">
              <w:rPr>
                <w:color w:val="C00000"/>
              </w:rPr>
              <w:t>600</w:t>
            </w:r>
          </w:p>
        </w:tc>
        <w:tc>
          <w:tcPr>
            <w:tcW w:w="1779" w:type="dxa"/>
            <w:tcBorders>
              <w:right w:val="single" w:sz="4" w:space="0" w:color="auto"/>
            </w:tcBorders>
            <w:shd w:val="clear" w:color="auto" w:fill="auto"/>
          </w:tcPr>
          <w:p w14:paraId="69513FA2" w14:textId="77777777" w:rsidR="00061E3C" w:rsidRDefault="00061E3C" w:rsidP="00061E3C">
            <w:pPr>
              <w:jc w:val="right"/>
              <w:cnfStyle w:val="000000000000" w:firstRow="0" w:lastRow="0" w:firstColumn="0" w:lastColumn="0" w:oddVBand="0" w:evenVBand="0" w:oddHBand="0" w:evenHBand="0" w:firstRowFirstColumn="0" w:firstRowLastColumn="0" w:lastRowFirstColumn="0" w:lastRowLastColumn="0"/>
              <w:rPr>
                <w:b/>
              </w:rPr>
            </w:pPr>
          </w:p>
          <w:p w14:paraId="33D61408" w14:textId="3F083504" w:rsidR="002E48AD" w:rsidRPr="0028499D" w:rsidRDefault="002E48AD">
            <w:pPr>
              <w:jc w:val="right"/>
              <w:cnfStyle w:val="000000000000" w:firstRow="0" w:lastRow="0" w:firstColumn="0" w:lastColumn="0" w:oddVBand="0" w:evenVBand="0" w:oddHBand="0" w:evenHBand="0" w:firstRowFirstColumn="0" w:firstRowLastColumn="0" w:lastRowFirstColumn="0" w:lastRowLastColumn="0"/>
            </w:pPr>
            <w:r w:rsidRPr="0028499D">
              <w:t>800</w:t>
            </w:r>
          </w:p>
        </w:tc>
      </w:tr>
      <w:tr w:rsidR="006513F6" w14:paraId="22CFDA4E" w14:textId="77777777" w:rsidTr="0028499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495" w:type="dxa"/>
            <w:tcBorders>
              <w:left w:val="single" w:sz="4" w:space="0" w:color="auto"/>
            </w:tcBorders>
            <w:shd w:val="clear" w:color="auto" w:fill="D9D9D9" w:themeFill="background1" w:themeFillShade="D9"/>
          </w:tcPr>
          <w:p w14:paraId="2FA38F8B" w14:textId="2EA26AC6" w:rsidR="00061E3C" w:rsidRPr="0028499D" w:rsidRDefault="00061E3C" w:rsidP="00684EFE">
            <w:pPr>
              <w:rPr>
                <w:b w:val="0"/>
              </w:rPr>
            </w:pPr>
            <w:r w:rsidRPr="00061E3C">
              <w:t>Tuition fee – Unit 3</w:t>
            </w:r>
            <w:r w:rsidR="000B5348">
              <w:t xml:space="preserve"> – loan amount</w:t>
            </w:r>
          </w:p>
        </w:tc>
        <w:tc>
          <w:tcPr>
            <w:tcW w:w="2126" w:type="dxa"/>
            <w:shd w:val="clear" w:color="auto" w:fill="D9D9D9" w:themeFill="background1" w:themeFillShade="D9"/>
          </w:tcPr>
          <w:p w14:paraId="30C6A216" w14:textId="799475BF" w:rsidR="00061E3C" w:rsidRDefault="009133BA" w:rsidP="00061E3C">
            <w:pPr>
              <w:jc w:val="right"/>
              <w:cnfStyle w:val="000000100000" w:firstRow="0" w:lastRow="0" w:firstColumn="0" w:lastColumn="0" w:oddVBand="0" w:evenVBand="0" w:oddHBand="1" w:evenHBand="0" w:firstRowFirstColumn="0" w:firstRowLastColumn="0" w:lastRowFirstColumn="0" w:lastRowLastColumn="0"/>
            </w:pPr>
            <w:r w:rsidRPr="0035075A">
              <w:rPr>
                <w:color w:val="C00000"/>
              </w:rPr>
              <w:t>-</w:t>
            </w:r>
            <w:r>
              <w:rPr>
                <w:color w:val="C00000"/>
              </w:rPr>
              <w:t xml:space="preserve"> </w:t>
            </w:r>
            <w:r w:rsidRPr="0035075A">
              <w:rPr>
                <w:color w:val="C00000"/>
              </w:rPr>
              <w:t>600</w:t>
            </w:r>
          </w:p>
        </w:tc>
        <w:tc>
          <w:tcPr>
            <w:tcW w:w="1779" w:type="dxa"/>
            <w:tcBorders>
              <w:right w:val="single" w:sz="4" w:space="0" w:color="auto"/>
            </w:tcBorders>
            <w:shd w:val="clear" w:color="auto" w:fill="D9D9D9" w:themeFill="background1" w:themeFillShade="D9"/>
          </w:tcPr>
          <w:p w14:paraId="7FFC9631" w14:textId="77777777" w:rsidR="00061E3C" w:rsidRDefault="00061E3C" w:rsidP="00061E3C">
            <w:pPr>
              <w:jc w:val="right"/>
              <w:cnfStyle w:val="000000100000" w:firstRow="0" w:lastRow="0" w:firstColumn="0" w:lastColumn="0" w:oddVBand="0" w:evenVBand="0" w:oddHBand="1" w:evenHBand="0" w:firstRowFirstColumn="0" w:firstRowLastColumn="0" w:lastRowFirstColumn="0" w:lastRowLastColumn="0"/>
              <w:rPr>
                <w:b/>
              </w:rPr>
            </w:pPr>
          </w:p>
          <w:p w14:paraId="4F44F09F" w14:textId="6771F52D" w:rsidR="002E48AD" w:rsidRPr="0028499D" w:rsidRDefault="002E48AD" w:rsidP="00061E3C">
            <w:pPr>
              <w:jc w:val="right"/>
              <w:cnfStyle w:val="000000100000" w:firstRow="0" w:lastRow="0" w:firstColumn="0" w:lastColumn="0" w:oddVBand="0" w:evenVBand="0" w:oddHBand="1" w:evenHBand="0" w:firstRowFirstColumn="0" w:firstRowLastColumn="0" w:lastRowFirstColumn="0" w:lastRowLastColumn="0"/>
            </w:pPr>
            <w:r w:rsidRPr="0028499D">
              <w:t>200</w:t>
            </w:r>
          </w:p>
        </w:tc>
      </w:tr>
      <w:tr w:rsidR="002E48AD" w14:paraId="67FEA390" w14:textId="779F9F9A" w:rsidTr="0028499D">
        <w:trPr>
          <w:trHeight w:val="344"/>
        </w:trPr>
        <w:tc>
          <w:tcPr>
            <w:cnfStyle w:val="001000000000" w:firstRow="0" w:lastRow="0" w:firstColumn="1" w:lastColumn="0" w:oddVBand="0" w:evenVBand="0" w:oddHBand="0" w:evenHBand="0" w:firstRowFirstColumn="0" w:firstRowLastColumn="0" w:lastRowFirstColumn="0" w:lastRowLastColumn="0"/>
            <w:tcW w:w="5495" w:type="dxa"/>
            <w:tcBorders>
              <w:left w:val="single" w:sz="4" w:space="0" w:color="auto"/>
            </w:tcBorders>
            <w:shd w:val="clear" w:color="auto" w:fill="auto"/>
          </w:tcPr>
          <w:p w14:paraId="4BD8E1F6" w14:textId="151DBCC6" w:rsidR="00061E3C" w:rsidRPr="0028499D" w:rsidRDefault="00061E3C">
            <w:pPr>
              <w:rPr>
                <w:b w:val="0"/>
              </w:rPr>
            </w:pPr>
            <w:r w:rsidRPr="00061E3C">
              <w:t>Tuition fee – Unit 4</w:t>
            </w:r>
            <w:r w:rsidR="000B5348">
              <w:br/>
              <w:t xml:space="preserve">      </w:t>
            </w:r>
            <w:r w:rsidR="00D8351A">
              <w:rPr>
                <w:b w:val="0"/>
              </w:rPr>
              <w:t>Upfront payment</w:t>
            </w:r>
            <w:r w:rsidR="000B5348" w:rsidRPr="00D8351A">
              <w:tab/>
            </w:r>
            <w:r w:rsidR="000B5348" w:rsidRPr="00D8351A">
              <w:tab/>
            </w:r>
            <w:r w:rsidR="000B5348" w:rsidRPr="00D8351A">
              <w:tab/>
            </w:r>
            <w:r w:rsidR="000B5348" w:rsidRPr="00D8351A">
              <w:tab/>
            </w:r>
            <w:r w:rsidR="00D8351A" w:rsidRPr="00D8351A">
              <w:rPr>
                <w:color w:val="FF0000"/>
              </w:rPr>
              <w:t>-4</w:t>
            </w:r>
            <w:r w:rsidR="000B5348" w:rsidRPr="0028499D">
              <w:rPr>
                <w:color w:val="FF0000"/>
              </w:rPr>
              <w:t>00</w:t>
            </w:r>
          </w:p>
        </w:tc>
        <w:tc>
          <w:tcPr>
            <w:tcW w:w="2126" w:type="dxa"/>
            <w:shd w:val="clear" w:color="auto" w:fill="auto"/>
          </w:tcPr>
          <w:p w14:paraId="5A617627" w14:textId="4B22A4DD" w:rsidR="00061E3C" w:rsidRDefault="00061E3C" w:rsidP="0028499D">
            <w:pPr>
              <w:jc w:val="right"/>
              <w:cnfStyle w:val="000000000000" w:firstRow="0" w:lastRow="0" w:firstColumn="0" w:lastColumn="0" w:oddVBand="0" w:evenVBand="0" w:oddHBand="0" w:evenHBand="0" w:firstRowFirstColumn="0" w:firstRowLastColumn="0" w:lastRowFirstColumn="0" w:lastRowLastColumn="0"/>
            </w:pPr>
          </w:p>
        </w:tc>
        <w:tc>
          <w:tcPr>
            <w:tcW w:w="1779" w:type="dxa"/>
            <w:tcBorders>
              <w:right w:val="single" w:sz="4" w:space="0" w:color="auto"/>
            </w:tcBorders>
            <w:shd w:val="clear" w:color="auto" w:fill="auto"/>
          </w:tcPr>
          <w:p w14:paraId="41BADC2B" w14:textId="54F7FCF0" w:rsidR="00061E3C" w:rsidRPr="0028499D" w:rsidRDefault="00061E3C" w:rsidP="00061E3C">
            <w:pPr>
              <w:jc w:val="right"/>
              <w:cnfStyle w:val="000000000000" w:firstRow="0" w:lastRow="0" w:firstColumn="0" w:lastColumn="0" w:oddVBand="0" w:evenVBand="0" w:oddHBand="0" w:evenHBand="0" w:firstRowFirstColumn="0" w:firstRowLastColumn="0" w:lastRowFirstColumn="0" w:lastRowLastColumn="0"/>
              <w:rPr>
                <w:b/>
              </w:rPr>
            </w:pPr>
          </w:p>
        </w:tc>
      </w:tr>
      <w:tr w:rsidR="00CF57BC" w:rsidRPr="003935F4" w14:paraId="7826957A" w14:textId="77777777" w:rsidTr="0028499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495" w:type="dxa"/>
            <w:tcBorders>
              <w:left w:val="single" w:sz="4" w:space="0" w:color="auto"/>
              <w:bottom w:val="single" w:sz="4" w:space="0" w:color="auto"/>
            </w:tcBorders>
          </w:tcPr>
          <w:p w14:paraId="3A6731EA" w14:textId="0B1B9F62" w:rsidR="00061E3C" w:rsidRPr="0028499D" w:rsidRDefault="000B5348">
            <w:pPr>
              <w:rPr>
                <w:b w:val="0"/>
              </w:rPr>
            </w:pPr>
            <w:r>
              <w:t xml:space="preserve">      </w:t>
            </w:r>
            <w:r w:rsidR="00D8351A">
              <w:rPr>
                <w:b w:val="0"/>
              </w:rPr>
              <w:t>Loan amount</w:t>
            </w:r>
            <w:r w:rsidRPr="00D8351A">
              <w:tab/>
            </w:r>
            <w:r w:rsidRPr="00D8351A">
              <w:tab/>
            </w:r>
            <w:r w:rsidRPr="00D8351A">
              <w:tab/>
            </w:r>
            <w:r w:rsidRPr="00D8351A">
              <w:tab/>
            </w:r>
          </w:p>
        </w:tc>
        <w:tc>
          <w:tcPr>
            <w:tcW w:w="2126" w:type="dxa"/>
            <w:tcBorders>
              <w:bottom w:val="single" w:sz="4" w:space="0" w:color="auto"/>
            </w:tcBorders>
          </w:tcPr>
          <w:p w14:paraId="23F2A9FD" w14:textId="62ED982A" w:rsidR="00061E3C" w:rsidRPr="003935F4" w:rsidRDefault="00D8351A">
            <w:pPr>
              <w:jc w:val="right"/>
              <w:cnfStyle w:val="000000100000" w:firstRow="0" w:lastRow="0" w:firstColumn="0" w:lastColumn="0" w:oddVBand="0" w:evenVBand="0" w:oddHBand="1" w:evenHBand="0" w:firstRowFirstColumn="0" w:firstRowLastColumn="0" w:lastRowFirstColumn="0" w:lastRowLastColumn="0"/>
              <w:rPr>
                <w:color w:val="C00000"/>
              </w:rPr>
            </w:pPr>
            <w:r w:rsidRPr="0035075A">
              <w:rPr>
                <w:color w:val="C00000"/>
              </w:rPr>
              <w:t>-</w:t>
            </w:r>
            <w:r>
              <w:rPr>
                <w:color w:val="C00000"/>
              </w:rPr>
              <w:t xml:space="preserve"> 2</w:t>
            </w:r>
            <w:r w:rsidRPr="0035075A">
              <w:rPr>
                <w:color w:val="C00000"/>
              </w:rPr>
              <w:t>00</w:t>
            </w:r>
          </w:p>
        </w:tc>
        <w:tc>
          <w:tcPr>
            <w:tcW w:w="1779" w:type="dxa"/>
            <w:tcBorders>
              <w:bottom w:val="single" w:sz="4" w:space="0" w:color="auto"/>
              <w:right w:val="single" w:sz="4" w:space="0" w:color="auto"/>
            </w:tcBorders>
          </w:tcPr>
          <w:p w14:paraId="2F70096E" w14:textId="3DBE3810" w:rsidR="00061E3C" w:rsidRPr="0028499D" w:rsidRDefault="00D8351A" w:rsidP="00061E3C">
            <w:pPr>
              <w:jc w:val="right"/>
              <w:cnfStyle w:val="000000100000" w:firstRow="0" w:lastRow="0" w:firstColumn="0" w:lastColumn="0" w:oddVBand="0" w:evenVBand="0" w:oddHBand="1" w:evenHBand="0" w:firstRowFirstColumn="0" w:firstRowLastColumn="0" w:lastRowFirstColumn="0" w:lastRowLastColumn="0"/>
            </w:pPr>
            <w:r w:rsidRPr="0028499D">
              <w:rPr>
                <w:color w:val="000000" w:themeColor="text1"/>
              </w:rPr>
              <w:t>0</w:t>
            </w:r>
          </w:p>
        </w:tc>
      </w:tr>
      <w:tr w:rsidR="003935F4" w:rsidRPr="003935F4" w14:paraId="7C91B433" w14:textId="77777777" w:rsidTr="0028499D">
        <w:trPr>
          <w:trHeight w:val="344"/>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tcBorders>
          </w:tcPr>
          <w:p w14:paraId="60625015" w14:textId="77777777" w:rsidR="003935F4" w:rsidRDefault="003935F4" w:rsidP="00684EFE">
            <w:r>
              <w:t>Upfront payment required</w:t>
            </w:r>
          </w:p>
          <w:p w14:paraId="31CB61E9" w14:textId="0E826D31" w:rsidR="00D8351A" w:rsidRPr="003935F4" w:rsidDel="003935F4" w:rsidRDefault="00D8351A" w:rsidP="00684EFE">
            <w:r>
              <w:t>FEE-HELP balance available</w:t>
            </w:r>
          </w:p>
        </w:tc>
        <w:tc>
          <w:tcPr>
            <w:tcW w:w="2126" w:type="dxa"/>
            <w:tcBorders>
              <w:top w:val="single" w:sz="4" w:space="0" w:color="auto"/>
              <w:bottom w:val="single" w:sz="4" w:space="0" w:color="auto"/>
            </w:tcBorders>
          </w:tcPr>
          <w:p w14:paraId="6277E409" w14:textId="77777777" w:rsidR="003935F4" w:rsidRPr="003935F4" w:rsidRDefault="003935F4" w:rsidP="00061E3C">
            <w:pPr>
              <w:jc w:val="right"/>
              <w:cnfStyle w:val="000000000000" w:firstRow="0" w:lastRow="0" w:firstColumn="0" w:lastColumn="0" w:oddVBand="0" w:evenVBand="0" w:oddHBand="0" w:evenHBand="0" w:firstRowFirstColumn="0" w:firstRowLastColumn="0" w:lastRowFirstColumn="0" w:lastRowLastColumn="0"/>
              <w:rPr>
                <w:color w:val="C00000"/>
              </w:rPr>
            </w:pPr>
          </w:p>
        </w:tc>
        <w:tc>
          <w:tcPr>
            <w:tcW w:w="1779" w:type="dxa"/>
            <w:tcBorders>
              <w:top w:val="single" w:sz="4" w:space="0" w:color="auto"/>
              <w:bottom w:val="single" w:sz="4" w:space="0" w:color="auto"/>
              <w:right w:val="single" w:sz="4" w:space="0" w:color="auto"/>
            </w:tcBorders>
          </w:tcPr>
          <w:p w14:paraId="621A6ABA" w14:textId="77777777" w:rsidR="003935F4" w:rsidRDefault="003935F4" w:rsidP="00061E3C">
            <w:pPr>
              <w:jc w:val="right"/>
              <w:cnfStyle w:val="000000000000" w:firstRow="0" w:lastRow="0" w:firstColumn="0" w:lastColumn="0" w:oddVBand="0" w:evenVBand="0" w:oddHBand="0" w:evenHBand="0" w:firstRowFirstColumn="0" w:firstRowLastColumn="0" w:lastRowFirstColumn="0" w:lastRowLastColumn="0"/>
              <w:rPr>
                <w:b/>
              </w:rPr>
            </w:pPr>
            <w:r w:rsidRPr="0028499D">
              <w:rPr>
                <w:b/>
              </w:rPr>
              <w:t>400</w:t>
            </w:r>
          </w:p>
          <w:p w14:paraId="2C74168C" w14:textId="2305C65A" w:rsidR="00D8351A" w:rsidRPr="0028499D" w:rsidRDefault="00D8351A" w:rsidP="00061E3C">
            <w:pPr>
              <w:jc w:val="right"/>
              <w:cnfStyle w:val="000000000000" w:firstRow="0" w:lastRow="0" w:firstColumn="0" w:lastColumn="0" w:oddVBand="0" w:evenVBand="0" w:oddHBand="0" w:evenHBand="0" w:firstRowFirstColumn="0" w:firstRowLastColumn="0" w:lastRowFirstColumn="0" w:lastRowLastColumn="0"/>
              <w:rPr>
                <w:b/>
              </w:rPr>
            </w:pPr>
            <w:r>
              <w:rPr>
                <w:b/>
              </w:rPr>
              <w:t>0</w:t>
            </w:r>
          </w:p>
        </w:tc>
      </w:tr>
    </w:tbl>
    <w:p w14:paraId="093D56B1" w14:textId="45797FE6" w:rsidR="00684EFE" w:rsidRDefault="00684EFE" w:rsidP="00684EFE">
      <w:pPr>
        <w:ind w:left="-142"/>
      </w:pPr>
    </w:p>
    <w:p w14:paraId="1133880A" w14:textId="77777777" w:rsidR="005D3F5A" w:rsidRPr="00B907EC" w:rsidRDefault="005D3F5A" w:rsidP="00F15113">
      <w:pPr>
        <w:pStyle w:val="Heading5"/>
        <w:keepNext/>
        <w:keepLines/>
      </w:pPr>
      <w:bookmarkStart w:id="800" w:name="_Toc341953475"/>
      <w:bookmarkStart w:id="801" w:name="_Toc470094598"/>
      <w:bookmarkStart w:id="802" w:name="_Toc481505202"/>
      <w:bookmarkStart w:id="803" w:name="_Toc483209516"/>
      <w:bookmarkStart w:id="804" w:name="_Toc483222845"/>
      <w:r>
        <w:lastRenderedPageBreak/>
        <w:t>Where tuition fees exceed FEE-HELP balance remaining</w:t>
      </w:r>
    </w:p>
    <w:p w14:paraId="00F6A2E8" w14:textId="77777777" w:rsidR="005D3F5A" w:rsidRPr="00736F23" w:rsidRDefault="005D3F5A" w:rsidP="005D3F5A">
      <w:r w:rsidRPr="00736F23">
        <w:t>If a student enrols in a part of a course or unit of study</w:t>
      </w:r>
      <w:r>
        <w:t xml:space="preserve"> and has sufficient loan cap available</w:t>
      </w:r>
      <w:r w:rsidRPr="00736F23">
        <w:t>, where the tuition fee exceeds the FEE</w:t>
      </w:r>
      <w:r w:rsidRPr="00736F23">
        <w:noBreakHyphen/>
        <w:t xml:space="preserve">HELP limit, the student will only receive a VET </w:t>
      </w:r>
      <w:r>
        <w:t>Student L</w:t>
      </w:r>
      <w:r w:rsidRPr="00736F23">
        <w:t>oan equal to the remaining FEE</w:t>
      </w:r>
      <w:r w:rsidRPr="00736F23">
        <w:noBreakHyphen/>
        <w:t>HELP balance. The provider is responsible for collecting the remaining tuition fee for the part of a course or unit of study.</w:t>
      </w:r>
    </w:p>
    <w:p w14:paraId="10D44566" w14:textId="77777777" w:rsidR="00983AE6" w:rsidRPr="006B65B9" w:rsidRDefault="00983AE6" w:rsidP="001A35A1">
      <w:pPr>
        <w:pStyle w:val="Heading5"/>
      </w:pPr>
      <w:r w:rsidRPr="006B65B9">
        <w:t xml:space="preserve">Students enrolled with more than one </w:t>
      </w:r>
      <w:bookmarkEnd w:id="800"/>
      <w:bookmarkEnd w:id="801"/>
      <w:r w:rsidRPr="006B65B9">
        <w:t>provider</w:t>
      </w:r>
      <w:bookmarkEnd w:id="802"/>
      <w:bookmarkEnd w:id="803"/>
      <w:bookmarkEnd w:id="804"/>
      <w:r w:rsidR="0049154F" w:rsidRPr="006B65B9">
        <w:t xml:space="preserve">  </w:t>
      </w:r>
    </w:p>
    <w:p w14:paraId="3A77067D" w14:textId="77777777" w:rsidR="00983AE6" w:rsidRPr="00736F23" w:rsidRDefault="00983AE6" w:rsidP="00983AE6">
      <w:r w:rsidRPr="00736F23">
        <w:t>Where a student does not have enough FEE-HELP balance to cover a part of a course or a unit of study, the department will notify the affected provider via an exception report. The provider is responsible for recovering any outstanding tuition fees from students in line with the provider’s own procedures. The Commonwealth will only pay the provider VET Student Loans and/or</w:t>
      </w:r>
      <w:r>
        <w:t xml:space="preserve"> VET FEE-HELP and </w:t>
      </w:r>
      <w:r w:rsidRPr="00736F23">
        <w:t>FEE</w:t>
      </w:r>
      <w:r w:rsidRPr="00736F23">
        <w:noBreakHyphen/>
        <w:t>HELP up to the available amount of the student’s FEE-HELP balance.</w:t>
      </w:r>
      <w:bookmarkStart w:id="805" w:name="_Toc173231115"/>
      <w:bookmarkStart w:id="806" w:name="_Toc192300324"/>
      <w:bookmarkStart w:id="807" w:name="_Toc233513287"/>
      <w:bookmarkStart w:id="808" w:name="_Toc238368261"/>
      <w:bookmarkStart w:id="809" w:name="_Toc239585482"/>
      <w:bookmarkStart w:id="810" w:name="_Toc257208286"/>
      <w:bookmarkStart w:id="811" w:name="_Toc298767082"/>
      <w:bookmarkStart w:id="812" w:name="_Toc341953476"/>
    </w:p>
    <w:p w14:paraId="0340C3BE" w14:textId="77777777" w:rsidR="00983AE6" w:rsidRPr="006B65B9" w:rsidRDefault="00983AE6" w:rsidP="001A35A1">
      <w:pPr>
        <w:pStyle w:val="Heading5"/>
      </w:pPr>
      <w:bookmarkStart w:id="813" w:name="_Toc461448753"/>
      <w:bookmarkStart w:id="814" w:name="_Toc470094599"/>
      <w:bookmarkStart w:id="815" w:name="_Toc481505203"/>
      <w:bookmarkStart w:id="816" w:name="_Toc483209517"/>
      <w:bookmarkStart w:id="817" w:name="_Toc483222846"/>
      <w:bookmarkEnd w:id="813"/>
      <w:r w:rsidRPr="006B65B9">
        <w:t>Determining a student’s FEE-HELP balance</w:t>
      </w:r>
      <w:bookmarkEnd w:id="805"/>
      <w:bookmarkEnd w:id="806"/>
      <w:bookmarkEnd w:id="807"/>
      <w:bookmarkEnd w:id="808"/>
      <w:bookmarkEnd w:id="809"/>
      <w:bookmarkEnd w:id="810"/>
      <w:bookmarkEnd w:id="811"/>
      <w:bookmarkEnd w:id="812"/>
      <w:bookmarkEnd w:id="814"/>
      <w:bookmarkEnd w:id="815"/>
      <w:bookmarkEnd w:id="816"/>
      <w:bookmarkEnd w:id="817"/>
    </w:p>
    <w:p w14:paraId="66A1EF0B" w14:textId="77777777" w:rsidR="00EE25AD" w:rsidRDefault="00EE25AD" w:rsidP="00EE25AD">
      <w:r>
        <w:t xml:space="preserve">A commencing student’s FEE-HELP balance will be provided </w:t>
      </w:r>
      <w:r w:rsidR="00B004A0">
        <w:t xml:space="preserve">by the provider to the student </w:t>
      </w:r>
      <w:r>
        <w:t>at the same time as a student’s CHESSN.</w:t>
      </w:r>
    </w:p>
    <w:p w14:paraId="6D5C5A7A" w14:textId="77777777" w:rsidR="00EE25AD" w:rsidRDefault="00EE25AD" w:rsidP="00EE25AD">
      <w:r>
        <w:t>A provider can undertake an entitlement search at any time to obtain a student’s remaining balance.</w:t>
      </w:r>
    </w:p>
    <w:p w14:paraId="0B07F73B" w14:textId="77777777" w:rsidR="00EE25AD" w:rsidRDefault="00EE25AD" w:rsidP="00EE25AD">
      <w:r>
        <w:t>See HEIMSHELP</w:t>
      </w:r>
      <w:r w:rsidR="005D215E">
        <w:t xml:space="preserve"> – </w:t>
      </w:r>
      <w:r>
        <w:t>‘</w:t>
      </w:r>
      <w:hyperlink r:id="rId78" w:history="1">
        <w:r w:rsidRPr="00EE25AD">
          <w:rPr>
            <w:rStyle w:val="Hyperlink"/>
          </w:rPr>
          <w:t>A Guide to viewing Student Entitlement Info</w:t>
        </w:r>
      </w:hyperlink>
      <w:r>
        <w:t>’ for more information on how to check a student’s FEE-HELP balance.</w:t>
      </w:r>
    </w:p>
    <w:p w14:paraId="76EFDAC3" w14:textId="77777777" w:rsidR="00EE25AD" w:rsidRPr="008205CD" w:rsidRDefault="00EE25AD" w:rsidP="0028499D">
      <w:pPr>
        <w:spacing w:line="276" w:lineRule="auto"/>
        <w:rPr>
          <w:b/>
        </w:rPr>
      </w:pPr>
      <w:r w:rsidRPr="008205CD">
        <w:rPr>
          <w:b/>
        </w:rPr>
        <w:t>NOTES:</w:t>
      </w:r>
    </w:p>
    <w:p w14:paraId="6AA8712F" w14:textId="77777777" w:rsidR="00EE25AD" w:rsidRDefault="00EE25AD" w:rsidP="007228C7">
      <w:r>
        <w:t>1.      Student entitlement calculations are undertaken nightly, based on the data reported each day.</w:t>
      </w:r>
    </w:p>
    <w:p w14:paraId="5B0B0C23" w14:textId="77777777" w:rsidR="00EE25AD" w:rsidRDefault="00EE25AD" w:rsidP="007228C7">
      <w:r w:rsidRPr="000008FD">
        <w:t>2</w:t>
      </w:r>
      <w:r w:rsidRPr="00BD1115">
        <w:t>.      </w:t>
      </w:r>
      <w:r w:rsidRPr="000008FD">
        <w:t xml:space="preserve">If the student’s </w:t>
      </w:r>
      <w:r w:rsidR="005D215E">
        <w:t>‘</w:t>
      </w:r>
      <w:r w:rsidRPr="000008FD">
        <w:t>FEE-HELP assistance</w:t>
      </w:r>
      <w:r w:rsidR="005D215E">
        <w:t>’</w:t>
      </w:r>
      <w:r w:rsidRPr="000008FD">
        <w:t xml:space="preserve"> includes liability incurred under VET Student Loans or VET FEE-HEL</w:t>
      </w:r>
      <w:r w:rsidRPr="00AB5285">
        <w:t>P, the exact amount of their HELP debt will not be accurate until late 2017. Additionally, reported VET Student Loan data may vary after it has been reported due to a retrospective validation process for payment purposes – up to six to eight weeks after reporting, debts passing through the validation process will be sent to the Australian Taxation Office and the debt information will be updated at that time.</w:t>
      </w:r>
    </w:p>
    <w:p w14:paraId="39E10555" w14:textId="77777777" w:rsidR="00983AE6" w:rsidRPr="00E1014C" w:rsidRDefault="00983AE6" w:rsidP="00983AE6">
      <w:pPr>
        <w:pStyle w:val="Heading3"/>
      </w:pPr>
      <w:bookmarkStart w:id="818" w:name="_4.7.2__"/>
      <w:bookmarkStart w:id="819" w:name="_Toc470094603"/>
      <w:bookmarkStart w:id="820" w:name="_Toc483222847"/>
      <w:bookmarkStart w:id="821" w:name="_Toc501621210"/>
      <w:bookmarkEnd w:id="818"/>
      <w:r w:rsidRPr="00E1014C">
        <w:t>4.7.</w:t>
      </w:r>
      <w:r w:rsidR="002A43C1">
        <w:t>2</w:t>
      </w:r>
      <w:r w:rsidR="00DB1CCE" w:rsidRPr="00E1014C">
        <w:t xml:space="preserve">   </w:t>
      </w:r>
      <w:r w:rsidRPr="00E1014C">
        <w:t>Loan fee</w:t>
      </w:r>
      <w:bookmarkEnd w:id="819"/>
      <w:bookmarkEnd w:id="820"/>
      <w:bookmarkEnd w:id="821"/>
    </w:p>
    <w:p w14:paraId="08966C24" w14:textId="77777777" w:rsidR="00983AE6" w:rsidRPr="00736F23" w:rsidRDefault="00983AE6" w:rsidP="00983AE6">
      <w:r w:rsidRPr="00736F23">
        <w:t>A loan fee of 20 per cent applies to VET Student Loans for full fee paying-students. The amount of the VET Student Loans debt is the amount of the VET Student Loans provided for a part of a course or unit, plus the VET Student Loan fee. The VET </w:t>
      </w:r>
      <w:r>
        <w:t>S</w:t>
      </w:r>
      <w:r w:rsidRPr="00736F23">
        <w:t>tudent Loan fee is not included in a person’s FEE</w:t>
      </w:r>
      <w:r w:rsidRPr="00736F23">
        <w:noBreakHyphen/>
        <w:t xml:space="preserve">HELP balance but is included in a person’s VET Student Loans debt. </w:t>
      </w:r>
    </w:p>
    <w:p w14:paraId="0DBF67E4" w14:textId="77777777" w:rsidR="00983AE6" w:rsidRPr="00B907EC" w:rsidRDefault="00983AE6" w:rsidP="00B907EC">
      <w:pPr>
        <w:pStyle w:val="Heading5"/>
        <w:pBdr>
          <w:top w:val="single" w:sz="4" w:space="1" w:color="auto"/>
          <w:left w:val="single" w:sz="4" w:space="4" w:color="auto"/>
          <w:bottom w:val="single" w:sz="4" w:space="1" w:color="auto"/>
          <w:right w:val="single" w:sz="4" w:space="4" w:color="auto"/>
        </w:pBdr>
        <w:shd w:val="clear" w:color="auto" w:fill="F2F2F2" w:themeFill="background1" w:themeFillShade="F2"/>
        <w:rPr>
          <w:rStyle w:val="Emphasis"/>
        </w:rPr>
      </w:pPr>
      <w:r w:rsidRPr="00B907EC">
        <w:rPr>
          <w:rStyle w:val="Emphasis"/>
        </w:rPr>
        <w:t>Example</w:t>
      </w:r>
    </w:p>
    <w:p w14:paraId="03013BE5" w14:textId="77777777" w:rsidR="00983AE6" w:rsidRPr="00736F23" w:rsidRDefault="00983AE6" w:rsidP="00B907EC">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736F23">
        <w:t xml:space="preserve">Adam is an eligible full fee paying student accessing </w:t>
      </w:r>
      <w:r>
        <w:t xml:space="preserve">a </w:t>
      </w:r>
      <w:r w:rsidRPr="00736F23">
        <w:t xml:space="preserve">VET </w:t>
      </w:r>
      <w:r>
        <w:t>Student Loan</w:t>
      </w:r>
      <w:r w:rsidRPr="00736F23">
        <w:t xml:space="preserve"> for his course. The tuition fee for his first unit of study is $1000</w:t>
      </w:r>
      <w:r>
        <w:t>,</w:t>
      </w:r>
      <w:r w:rsidRPr="00736F23">
        <w:t xml:space="preserve"> plus </w:t>
      </w:r>
      <w:r>
        <w:t xml:space="preserve">a </w:t>
      </w:r>
      <w:r w:rsidRPr="00736F23">
        <w:t>20 per cent</w:t>
      </w:r>
      <w:r>
        <w:t xml:space="preserve"> loan fee</w:t>
      </w:r>
      <w:r w:rsidRPr="00736F23">
        <w:t xml:space="preserve">. </w:t>
      </w:r>
    </w:p>
    <w:p w14:paraId="61637E28" w14:textId="77777777" w:rsidR="00983AE6" w:rsidRPr="00736F23" w:rsidRDefault="00983AE6" w:rsidP="00B907E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i/>
        </w:rPr>
      </w:pPr>
      <w:r w:rsidRPr="00736F23">
        <w:rPr>
          <w:i/>
        </w:rPr>
        <w:t>$1000 x 1.2 = $1200.</w:t>
      </w:r>
    </w:p>
    <w:p w14:paraId="40EBA6B1" w14:textId="77777777" w:rsidR="00983AE6" w:rsidRPr="00736F23" w:rsidRDefault="00983AE6" w:rsidP="00B907EC">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736F23">
        <w:t>While Adam’s FEE-HELP balance is reduced by $1000, his VET Student Loans debt for the unit is $1200.</w:t>
      </w:r>
    </w:p>
    <w:p w14:paraId="2B669CD5" w14:textId="77777777" w:rsidR="00983AE6" w:rsidRPr="00736F23" w:rsidRDefault="00983AE6" w:rsidP="00983AE6">
      <w:r w:rsidRPr="00736F23">
        <w:t xml:space="preserve">Providers report whether a loan fee applies in the </w:t>
      </w:r>
      <w:hyperlink r:id="rId79" w:anchor="nav" w:history="1">
        <w:r w:rsidRPr="00E1014C">
          <w:rPr>
            <w:rStyle w:val="Hyperlink"/>
          </w:rPr>
          <w:t>HEIMS</w:t>
        </w:r>
      </w:hyperlink>
      <w:r w:rsidRPr="00736F23">
        <w:t xml:space="preserve"> data reporting code ‘490 student status’ and code ‘529 loan fee’.</w:t>
      </w:r>
    </w:p>
    <w:p w14:paraId="1A9B6AA0" w14:textId="77777777" w:rsidR="00983AE6" w:rsidRDefault="00983AE6" w:rsidP="00983AE6">
      <w:pPr>
        <w:rPr>
          <w:b/>
        </w:rPr>
      </w:pPr>
      <w:r w:rsidRPr="00E1014C">
        <w:rPr>
          <w:rStyle w:val="Strong"/>
        </w:rPr>
        <w:t xml:space="preserve">NOTE: </w:t>
      </w:r>
      <w:r w:rsidRPr="00785C50">
        <w:t>The loan fee does not apply to state and territory government-subsidised students</w:t>
      </w:r>
      <w:r>
        <w:rPr>
          <w:b/>
        </w:rPr>
        <w:t xml:space="preserve"> </w:t>
      </w:r>
      <w:r w:rsidRPr="00E1014C">
        <w:rPr>
          <w:rStyle w:val="ReferenceChar"/>
        </w:rPr>
        <w:t>[Rules s</w:t>
      </w:r>
      <w:r w:rsidR="00372A57">
        <w:rPr>
          <w:rStyle w:val="ReferenceChar"/>
        </w:rPr>
        <w:t xml:space="preserve"> </w:t>
      </w:r>
      <w:r w:rsidRPr="00E1014C">
        <w:rPr>
          <w:rStyle w:val="ReferenceChar"/>
        </w:rPr>
        <w:t>12]</w:t>
      </w:r>
      <w:r w:rsidRPr="00736F23">
        <w:rPr>
          <w:b/>
        </w:rPr>
        <w:t>.</w:t>
      </w:r>
    </w:p>
    <w:p w14:paraId="57564E65" w14:textId="77777777" w:rsidR="00983AE6" w:rsidRPr="00E1014C" w:rsidRDefault="00983AE6" w:rsidP="00F15113">
      <w:pPr>
        <w:pStyle w:val="Heading3"/>
        <w:keepNext/>
        <w:keepLines/>
      </w:pPr>
      <w:bookmarkStart w:id="822" w:name="_Determining_genuine_students"/>
      <w:bookmarkStart w:id="823" w:name="_4.7.3__"/>
      <w:bookmarkStart w:id="824" w:name="_4.7.4__"/>
      <w:bookmarkStart w:id="825" w:name="_Toc483222848"/>
      <w:bookmarkStart w:id="826" w:name="_Toc501621211"/>
      <w:bookmarkEnd w:id="822"/>
      <w:bookmarkEnd w:id="823"/>
      <w:bookmarkEnd w:id="824"/>
      <w:r>
        <w:lastRenderedPageBreak/>
        <w:t>4.7.</w:t>
      </w:r>
      <w:r w:rsidR="002A43C1">
        <w:t>3</w:t>
      </w:r>
      <w:r w:rsidR="00DB1CCE">
        <w:t xml:space="preserve">   </w:t>
      </w:r>
      <w:r w:rsidRPr="005131A5">
        <w:t>Determining genuine students</w:t>
      </w:r>
      <w:bookmarkEnd w:id="825"/>
      <w:bookmarkEnd w:id="826"/>
    </w:p>
    <w:p w14:paraId="250A6377" w14:textId="77777777" w:rsidR="00983AE6" w:rsidRPr="00B308AC" w:rsidRDefault="00983AE6" w:rsidP="00983AE6">
      <w:r w:rsidRPr="00B308AC">
        <w:t xml:space="preserve">As part of stronger monitoring and compliance measures, students accessing </w:t>
      </w:r>
      <w:r w:rsidR="00454ED5">
        <w:t>VET Student Loans</w:t>
      </w:r>
      <w:r w:rsidRPr="00B308AC">
        <w:t xml:space="preserve"> for their course will be required at regular intervals to demonstrate that they are genuine students</w:t>
      </w:r>
      <w:r>
        <w:t xml:space="preserve"> having regard to the factors listed at subsection 5(2) of the VET Student Loans Rules</w:t>
      </w:r>
      <w:r w:rsidRPr="00B308AC">
        <w:t>.</w:t>
      </w:r>
    </w:p>
    <w:p w14:paraId="1A969FDA" w14:textId="77777777" w:rsidR="00983AE6" w:rsidRPr="00A1115A" w:rsidRDefault="00983AE6" w:rsidP="001A35A1">
      <w:pPr>
        <w:pStyle w:val="Heading5"/>
      </w:pPr>
      <w:bookmarkStart w:id="827" w:name="_Fixed_progression_points"/>
      <w:bookmarkStart w:id="828" w:name="_Toc483209520"/>
      <w:bookmarkStart w:id="829" w:name="_Toc483222849"/>
      <w:bookmarkEnd w:id="827"/>
      <w:r w:rsidRPr="00A1115A">
        <w:t>Fixed progression points</w:t>
      </w:r>
      <w:bookmarkEnd w:id="828"/>
      <w:bookmarkEnd w:id="829"/>
      <w:r w:rsidRPr="00A1115A">
        <w:t xml:space="preserve"> </w:t>
      </w:r>
    </w:p>
    <w:p w14:paraId="1F7F3CF2" w14:textId="77777777" w:rsidR="00983AE6" w:rsidRPr="00B308AC" w:rsidRDefault="00983AE6" w:rsidP="00983AE6">
      <w:pPr>
        <w:rPr>
          <w:lang w:eastAsia="en-AU"/>
        </w:rPr>
      </w:pPr>
      <w:r w:rsidRPr="00B308AC">
        <w:rPr>
          <w:lang w:eastAsia="en-AU"/>
        </w:rPr>
        <w:t>There are three fixed progression points through the year, at four-month intervals, with delivery dates in February, June and October. Two weeks will be allowed for responses by students.</w:t>
      </w:r>
    </w:p>
    <w:p w14:paraId="6F51E614" w14:textId="77777777" w:rsidR="00983AE6" w:rsidRPr="00B308AC" w:rsidRDefault="00983AE6" w:rsidP="00983AE6">
      <w:pPr>
        <w:rPr>
          <w:lang w:eastAsia="en-AU"/>
        </w:rPr>
      </w:pPr>
      <w:r w:rsidRPr="00B308AC">
        <w:rPr>
          <w:lang w:eastAsia="en-AU"/>
        </w:rPr>
        <w:t>Providers should contact the department if they believe exceptional relevant circumstances justify departure from the above timing arrangements.</w:t>
      </w:r>
    </w:p>
    <w:p w14:paraId="33F48920" w14:textId="77777777" w:rsidR="00983AE6" w:rsidRPr="00B308AC" w:rsidRDefault="00983AE6" w:rsidP="00983AE6">
      <w:pPr>
        <w:rPr>
          <w:lang w:eastAsia="en-AU"/>
        </w:rPr>
      </w:pPr>
      <w:r w:rsidRPr="00B308AC">
        <w:rPr>
          <w:lang w:eastAsia="en-AU"/>
        </w:rPr>
        <w:t>Providers will trigger progression points; this may be done at the individual student level from their eCAF, by spreadsheet, or from a provider’s student management software. Progression points must be triggered at some point within the identified month (exact timing at the discretion of the provider), or when a student returns from a break in their studies (for example, deferral for a period of time, or return after ceasing study). The absence of a provider initiated progression point will be taken to indicate the student is no longer</w:t>
      </w:r>
      <w:r>
        <w:rPr>
          <w:lang w:eastAsia="en-AU"/>
        </w:rPr>
        <w:t xml:space="preserve"> a genuine student</w:t>
      </w:r>
      <w:r w:rsidRPr="00B308AC">
        <w:rPr>
          <w:lang w:eastAsia="en-AU"/>
        </w:rPr>
        <w:t>. As general principle, the department requires providers to trigger a progression for all students.</w:t>
      </w:r>
    </w:p>
    <w:p w14:paraId="473D4DD7" w14:textId="77777777" w:rsidR="00983AE6" w:rsidRPr="00B308AC" w:rsidRDefault="00983AE6" w:rsidP="00983AE6">
      <w:pPr>
        <w:rPr>
          <w:lang w:eastAsia="en-AU"/>
        </w:rPr>
      </w:pPr>
      <w:r w:rsidRPr="00B308AC">
        <w:rPr>
          <w:lang w:eastAsia="en-AU"/>
        </w:rPr>
        <w:t xml:space="preserve">Students will be required to indicate </w:t>
      </w:r>
      <w:r>
        <w:rPr>
          <w:lang w:eastAsia="en-AU"/>
        </w:rPr>
        <w:t xml:space="preserve">that they are continuing to be a genuine student </w:t>
      </w:r>
      <w:r w:rsidRPr="00B308AC">
        <w:rPr>
          <w:lang w:eastAsia="en-AU"/>
        </w:rPr>
        <w:t>only after at least four months have elapsed since their eCAF application was submitted, or they last indicated</w:t>
      </w:r>
      <w:r>
        <w:rPr>
          <w:lang w:eastAsia="en-AU"/>
        </w:rPr>
        <w:t xml:space="preserve"> that they are a genuine student</w:t>
      </w:r>
      <w:r w:rsidRPr="00B308AC">
        <w:rPr>
          <w:lang w:eastAsia="en-AU"/>
        </w:rPr>
        <w:t>. A student doing a 12-month diploma, full time, would therefore be required to indicate progression twice. A student studying a course over multiple years would be required to indicate progression a nu</w:t>
      </w:r>
      <w:r>
        <w:rPr>
          <w:lang w:eastAsia="en-AU"/>
        </w:rPr>
        <w:t xml:space="preserve">mber of times, confirming their continuity as a genuine student </w:t>
      </w:r>
      <w:r w:rsidRPr="00B308AC">
        <w:rPr>
          <w:lang w:eastAsia="en-AU"/>
        </w:rPr>
        <w:t>over the elongated period.</w:t>
      </w:r>
    </w:p>
    <w:p w14:paraId="15E01A4F" w14:textId="2CAC3D2F" w:rsidR="00983AE6" w:rsidRPr="00B308AC" w:rsidRDefault="00983AE6" w:rsidP="00983AE6">
      <w:r w:rsidRPr="00B308AC">
        <w:t xml:space="preserve">Demonstration of </w:t>
      </w:r>
      <w:r>
        <w:t xml:space="preserve">being a genuine student </w:t>
      </w:r>
      <w:r w:rsidRPr="00B308AC">
        <w:t>will be required at the course, rather than at the student, level. That is</w:t>
      </w:r>
      <w:r w:rsidR="00001A2B">
        <w:t>,</w:t>
      </w:r>
      <w:r w:rsidRPr="00B308AC">
        <w:t xml:space="preserve"> a student studying two or more courses concurrently will have two or more loans and be required to complete two progression actions and surveys for both courses.</w:t>
      </w:r>
    </w:p>
    <w:p w14:paraId="227651AF" w14:textId="45C7ACFF" w:rsidR="00001A2B" w:rsidRPr="00001A2B" w:rsidRDefault="00001A2B" w:rsidP="00001A2B">
      <w:r w:rsidRPr="00001A2B">
        <w:t xml:space="preserve">Completion of progressions by students is directly connected to the making of payments. Where a student fails to complete two consecutive progressions </w:t>
      </w:r>
      <w:r w:rsidR="007D171B">
        <w:t xml:space="preserve">or where a student indicates they have completed or withdrawn, </w:t>
      </w:r>
      <w:r w:rsidRPr="00001A2B">
        <w:t>the department may take the view that they should no longer be considered to be a genuine student, and payments will be impacted.</w:t>
      </w:r>
    </w:p>
    <w:p w14:paraId="1DC29A78" w14:textId="77777777" w:rsidR="006902DA" w:rsidRPr="006B65B9" w:rsidRDefault="006902DA" w:rsidP="001A35A1">
      <w:pPr>
        <w:pStyle w:val="Heading5"/>
      </w:pPr>
      <w:r w:rsidRPr="006B65B9">
        <w:t>Viewing student progression status</w:t>
      </w:r>
    </w:p>
    <w:p w14:paraId="4DACBBE5" w14:textId="77777777" w:rsidR="006902DA" w:rsidRDefault="006902DA" w:rsidP="006902DA">
      <w:r>
        <w:t>Within the eCAF system, p</w:t>
      </w:r>
      <w:r w:rsidRPr="0092774B">
        <w:t>roviders can view th</w:t>
      </w:r>
      <w:r>
        <w:t>e status of student progressions</w:t>
      </w:r>
      <w:r w:rsidRPr="0092774B">
        <w:t xml:space="preserve"> on the eCAF Dashboard or by going to the Progression tab, and selecting the</w:t>
      </w:r>
      <w:r>
        <w:t xml:space="preserve"> relevant</w:t>
      </w:r>
      <w:r w:rsidRPr="0092774B">
        <w:t xml:space="preserve"> radio button</w:t>
      </w:r>
      <w:r>
        <w:t>(s)</w:t>
      </w:r>
      <w:r w:rsidRPr="0092774B">
        <w:t>. Progressions that have been created, where the invitations have been sent and where the students have signed in</w:t>
      </w:r>
      <w:r w:rsidR="00D41769">
        <w:t>to</w:t>
      </w:r>
      <w:r w:rsidRPr="0092774B">
        <w:t xml:space="preserve"> the eCAF system but not completed the progression form</w:t>
      </w:r>
      <w:r w:rsidR="00D41769">
        <w:t>,</w:t>
      </w:r>
      <w:r w:rsidRPr="0092774B">
        <w:t xml:space="preserve"> will be counted as outstanding progressions</w:t>
      </w:r>
      <w:r>
        <w:t>.</w:t>
      </w:r>
      <w:r w:rsidRPr="0092774B">
        <w:t xml:space="preserve"> Providers will be able to see which students have completed the progression and their intentions for study, but will not have access to the survey responses</w:t>
      </w:r>
      <w:r>
        <w:t>.</w:t>
      </w:r>
    </w:p>
    <w:p w14:paraId="76B112E9" w14:textId="77777777" w:rsidR="006902DA" w:rsidRDefault="006902DA" w:rsidP="00983AE6">
      <w:r w:rsidRPr="0092774B">
        <w:t>Providers are not required</w:t>
      </w:r>
      <w:r>
        <w:t xml:space="preserve"> to</w:t>
      </w:r>
      <w:r w:rsidRPr="0092774B">
        <w:t>,</w:t>
      </w:r>
      <w:r w:rsidR="00154F73">
        <w:t xml:space="preserve"> </w:t>
      </w:r>
      <w:r>
        <w:t xml:space="preserve">(but the department recommends) </w:t>
      </w:r>
      <w:r w:rsidRPr="0092774B">
        <w:t xml:space="preserve">monitor completions and </w:t>
      </w:r>
      <w:r>
        <w:t>s</w:t>
      </w:r>
      <w:r w:rsidRPr="0092774B">
        <w:t>tudents</w:t>
      </w:r>
      <w:r>
        <w:t>’</w:t>
      </w:r>
      <w:r w:rsidRPr="0092774B">
        <w:t xml:space="preserve"> </w:t>
      </w:r>
      <w:r>
        <w:t>intentions</w:t>
      </w:r>
      <w:r w:rsidRPr="0092774B">
        <w:t xml:space="preserve"> about future study (particularly in relat</w:t>
      </w:r>
      <w:r>
        <w:t xml:space="preserve">ion to cessation and deferral). </w:t>
      </w:r>
    </w:p>
    <w:p w14:paraId="022F62DE" w14:textId="77777777" w:rsidR="006902DA" w:rsidRPr="00B308AC" w:rsidRDefault="006902DA" w:rsidP="00983AE6">
      <w:r w:rsidRPr="0092774B">
        <w:t>The department asks that providers communicate to students about the arrangements, such as having to complete and submit the form within 2 weeks of receiving the invitation email, and encourage students to participate</w:t>
      </w:r>
      <w:r>
        <w:t xml:space="preserve"> in the student progression process</w:t>
      </w:r>
      <w:r w:rsidRPr="0092774B">
        <w:t>. It would of course however be inappropriate for providers to direct students about the responses to provide, or to put students in a position where they are otherwise compelled, or reasonably feel compelled, to answer in a particular way.</w:t>
      </w:r>
    </w:p>
    <w:p w14:paraId="6EF0999D" w14:textId="77777777" w:rsidR="00983AE6" w:rsidRPr="006B65B9" w:rsidRDefault="00983AE6" w:rsidP="001A35A1">
      <w:pPr>
        <w:pStyle w:val="Heading5"/>
      </w:pPr>
      <w:bookmarkStart w:id="830" w:name="_Toc481505206"/>
      <w:bookmarkStart w:id="831" w:name="_Toc482274084"/>
      <w:bookmarkStart w:id="832" w:name="_Toc483209521"/>
      <w:bookmarkStart w:id="833" w:name="_Toc483222850"/>
      <w:r w:rsidRPr="006B65B9">
        <w:lastRenderedPageBreak/>
        <w:t>Reasonably engaged in the course</w:t>
      </w:r>
      <w:bookmarkEnd w:id="830"/>
      <w:bookmarkEnd w:id="831"/>
      <w:bookmarkEnd w:id="832"/>
      <w:bookmarkEnd w:id="833"/>
    </w:p>
    <w:p w14:paraId="1F421A5E" w14:textId="0619E5AA" w:rsidR="00983AE6" w:rsidRPr="00784226" w:rsidRDefault="00983AE6" w:rsidP="00983AE6">
      <w:pPr>
        <w:rPr>
          <w:color w:val="3333FF"/>
          <w:sz w:val="16"/>
          <w:szCs w:val="16"/>
        </w:rPr>
      </w:pPr>
      <w:r w:rsidRPr="00B308AC">
        <w:t xml:space="preserve">Students must demonstrate that they are reasonably engaged in the course </w:t>
      </w:r>
      <w:r w:rsidRPr="00E1014C">
        <w:rPr>
          <w:rStyle w:val="ReferenceChar"/>
        </w:rPr>
        <w:t>[Rules, paragraph 5(2)(a)]</w:t>
      </w:r>
      <w:r w:rsidRPr="00B308AC">
        <w:t>.</w:t>
      </w:r>
      <w:r w:rsidRPr="00B308AC">
        <w:rPr>
          <w:b/>
        </w:rPr>
        <w:t xml:space="preserve"> </w:t>
      </w:r>
      <w:r>
        <w:t>Please refer to the heading ‘</w:t>
      </w:r>
      <w:hyperlink w:anchor="_Factors_that_may" w:history="1">
        <w:r w:rsidRPr="00A5748D">
          <w:rPr>
            <w:rStyle w:val="Hyperlink"/>
            <w:color w:val="002060"/>
          </w:rPr>
          <w:t>Factors that may indicate a lack of engagement</w:t>
        </w:r>
      </w:hyperlink>
      <w:r>
        <w:t>’ below for further guidance on this topic.</w:t>
      </w:r>
    </w:p>
    <w:p w14:paraId="45FA5C25" w14:textId="77777777" w:rsidR="00983AE6" w:rsidRPr="00B308AC" w:rsidRDefault="00983AE6" w:rsidP="00983AE6">
      <w:r w:rsidRPr="00B308AC">
        <w:t>Reasonable engagement includes where:</w:t>
      </w:r>
    </w:p>
    <w:p w14:paraId="30ADC2AC" w14:textId="77777777" w:rsidR="00983AE6" w:rsidRPr="00983AE6" w:rsidRDefault="00983AE6" w:rsidP="00983AE6">
      <w:pPr>
        <w:pStyle w:val="ListBullet"/>
        <w:rPr>
          <w:rStyle w:val="ReferenceChar"/>
          <w:b w:val="0"/>
          <w:color w:val="auto"/>
          <w:sz w:val="22"/>
        </w:rPr>
      </w:pPr>
      <w:r w:rsidRPr="00983AE6">
        <w:t xml:space="preserve">the student has satisfied course requirements for the course or participated in assessment activities for the course </w:t>
      </w:r>
      <w:r w:rsidRPr="00983AE6">
        <w:rPr>
          <w:rStyle w:val="ReferenceChar"/>
        </w:rPr>
        <w:t>[Rules paragraph 5(2)(c)]</w:t>
      </w:r>
    </w:p>
    <w:p w14:paraId="1512020D" w14:textId="77777777" w:rsidR="00983AE6" w:rsidRPr="00983AE6" w:rsidRDefault="00983AE6" w:rsidP="00983AE6">
      <w:pPr>
        <w:pStyle w:val="ListBullet"/>
      </w:pPr>
      <w:r w:rsidRPr="00983AE6">
        <w:t xml:space="preserve">if the course is an online course—the number of occasions on which the student has logged in to the course is not insignificant </w:t>
      </w:r>
      <w:r w:rsidRPr="00983AE6">
        <w:rPr>
          <w:rStyle w:val="ReferenceChar"/>
        </w:rPr>
        <w:t>[Rules paragraph 5(2)(d)]</w:t>
      </w:r>
      <w:r w:rsidRPr="00983AE6">
        <w:t>.</w:t>
      </w:r>
    </w:p>
    <w:p w14:paraId="6EE55DB9" w14:textId="77777777" w:rsidR="00983AE6" w:rsidRPr="006B65B9" w:rsidRDefault="00983AE6" w:rsidP="00001A2B">
      <w:pPr>
        <w:pStyle w:val="Heading5"/>
        <w:keepNext/>
        <w:keepLines/>
      </w:pPr>
      <w:bookmarkStart w:id="834" w:name="_Toc481505207"/>
      <w:bookmarkStart w:id="835" w:name="_Toc482274085"/>
      <w:bookmarkStart w:id="836" w:name="_Toc483209522"/>
      <w:bookmarkStart w:id="837" w:name="_Toc483222851"/>
      <w:r w:rsidRPr="006B65B9">
        <w:t>Student awareness</w:t>
      </w:r>
      <w:bookmarkEnd w:id="834"/>
      <w:bookmarkEnd w:id="835"/>
      <w:bookmarkEnd w:id="836"/>
      <w:bookmarkEnd w:id="837"/>
    </w:p>
    <w:p w14:paraId="70497A77" w14:textId="3165BB31" w:rsidR="00983AE6" w:rsidRPr="00B308AC" w:rsidRDefault="00983AE6" w:rsidP="00983AE6">
      <w:r w:rsidRPr="00B308AC">
        <w:t xml:space="preserve">Another factor that may be taken into account to determine </w:t>
      </w:r>
      <w:r w:rsidR="003D7B8A">
        <w:t>w</w:t>
      </w:r>
      <w:r w:rsidRPr="00B308AC">
        <w:t xml:space="preserve">hether a student is a ‘genuine student’ is whether the student has knowledge of the course requirements, and the cost and duration of the course </w:t>
      </w:r>
      <w:r w:rsidRPr="00C73C05">
        <w:rPr>
          <w:rStyle w:val="ReferenceChar"/>
        </w:rPr>
        <w:t>[Rules, paragraph 5(2)(b)]</w:t>
      </w:r>
      <w:r w:rsidRPr="00B308AC">
        <w:t xml:space="preserve">. </w:t>
      </w:r>
    </w:p>
    <w:p w14:paraId="4DEC1599" w14:textId="77777777" w:rsidR="00983AE6" w:rsidRPr="00B308AC" w:rsidRDefault="00983AE6" w:rsidP="00983AE6">
      <w:r w:rsidRPr="00B308AC">
        <w:t>In accordance with subsection 98(1) of the Rules, the provider must provide students with information prior to enrolment, including about tuition fees and other fees that apply to the course, and about their rights and obligations when enrolling in a course and applying for a VET student loan.</w:t>
      </w:r>
    </w:p>
    <w:p w14:paraId="75057DD9" w14:textId="77777777" w:rsidR="00A1115A" w:rsidRDefault="00983AE6" w:rsidP="00560060">
      <w:pPr>
        <w:rPr>
          <w:rFonts w:ascii="Calibri" w:eastAsiaTheme="majorEastAsia" w:hAnsi="Calibri" w:cstheme="majorBidi"/>
          <w:b/>
          <w:bCs/>
          <w:i/>
        </w:rPr>
      </w:pPr>
      <w:r w:rsidRPr="00B308AC">
        <w:t xml:space="preserve">This is included in the </w:t>
      </w:r>
      <w:hyperlink w:anchor="_Appendix_C_–" w:history="1">
        <w:r w:rsidRPr="00C73C05">
          <w:rPr>
            <w:rStyle w:val="Hyperlink"/>
          </w:rPr>
          <w:t>Checklist at Appendix B</w:t>
        </w:r>
      </w:hyperlink>
      <w:r w:rsidRPr="00B308AC">
        <w:t>. The checklist is provided for the convenience of providers</w:t>
      </w:r>
      <w:r>
        <w:t>.</w:t>
      </w:r>
      <w:r w:rsidRPr="00B308AC">
        <w:t xml:space="preserve"> </w:t>
      </w:r>
      <w:bookmarkStart w:id="838" w:name="_Toc481505208"/>
      <w:bookmarkStart w:id="839" w:name="_Toc482274086"/>
      <w:bookmarkStart w:id="840" w:name="_Toc483209523"/>
      <w:bookmarkStart w:id="841" w:name="_Toc483222852"/>
    </w:p>
    <w:p w14:paraId="6C699266" w14:textId="77777777" w:rsidR="00983AE6" w:rsidRPr="006B65B9" w:rsidRDefault="00983AE6" w:rsidP="004B58D5">
      <w:pPr>
        <w:pStyle w:val="Heading5"/>
      </w:pPr>
      <w:r w:rsidRPr="006B65B9">
        <w:t>Student satisfies course requirements</w:t>
      </w:r>
      <w:bookmarkEnd w:id="838"/>
      <w:bookmarkEnd w:id="839"/>
      <w:bookmarkEnd w:id="840"/>
      <w:bookmarkEnd w:id="841"/>
      <w:r w:rsidRPr="006B65B9">
        <w:t xml:space="preserve"> </w:t>
      </w:r>
    </w:p>
    <w:p w14:paraId="29223FC7" w14:textId="77777777" w:rsidR="00983AE6" w:rsidRPr="00B308AC" w:rsidRDefault="00983AE6" w:rsidP="00983AE6">
      <w:r w:rsidRPr="00B308AC">
        <w:t xml:space="preserve">Another factor that may be taken into account is whether the student has satisfied course requirements for the course or participated in assessment activities for the course </w:t>
      </w:r>
      <w:r w:rsidRPr="00C73C05">
        <w:rPr>
          <w:rStyle w:val="ReferenceChar"/>
        </w:rPr>
        <w:t>[Rules paragraph 5(2)(c)]</w:t>
      </w:r>
    </w:p>
    <w:p w14:paraId="61FCF9FE" w14:textId="77777777" w:rsidR="00983AE6" w:rsidRPr="006B65B9" w:rsidRDefault="00983AE6" w:rsidP="004B58D5">
      <w:pPr>
        <w:pStyle w:val="Heading5"/>
      </w:pPr>
      <w:bookmarkStart w:id="842" w:name="_Toc481505209"/>
      <w:bookmarkStart w:id="843" w:name="_Toc482274087"/>
      <w:bookmarkStart w:id="844" w:name="_Toc483209524"/>
      <w:bookmarkStart w:id="845" w:name="_Toc483222853"/>
      <w:r w:rsidRPr="006B65B9">
        <w:t>Student login to online course</w:t>
      </w:r>
      <w:bookmarkEnd w:id="842"/>
      <w:bookmarkEnd w:id="843"/>
      <w:bookmarkEnd w:id="844"/>
      <w:bookmarkEnd w:id="845"/>
    </w:p>
    <w:p w14:paraId="410F6110" w14:textId="77777777" w:rsidR="00983AE6" w:rsidRPr="00B308AC" w:rsidRDefault="00983AE6" w:rsidP="00983AE6">
      <w:r w:rsidRPr="00B308AC">
        <w:t xml:space="preserve">Another factor that may be taken into account is, if the course is an online course— whether the number of occasions on which the student has logged into the course is not insignificant </w:t>
      </w:r>
      <w:r>
        <w:rPr>
          <w:rStyle w:val="ReferenceChar"/>
        </w:rPr>
        <w:t>[Rules </w:t>
      </w:r>
      <w:r w:rsidRPr="00C73C05">
        <w:rPr>
          <w:rStyle w:val="ReferenceChar"/>
        </w:rPr>
        <w:t>paragraph</w:t>
      </w:r>
      <w:r>
        <w:rPr>
          <w:rStyle w:val="ReferenceChar"/>
        </w:rPr>
        <w:t> </w:t>
      </w:r>
      <w:r w:rsidRPr="00C73C05">
        <w:rPr>
          <w:rStyle w:val="ReferenceChar"/>
        </w:rPr>
        <w:t>5(2)(d)]</w:t>
      </w:r>
      <w:r w:rsidRPr="00B308AC">
        <w:t>. If the number of occasions is ‘insignificant’ then this suggests that the student is not genuine.</w:t>
      </w:r>
    </w:p>
    <w:p w14:paraId="060B69D9" w14:textId="77777777" w:rsidR="00983AE6" w:rsidRPr="006B65B9" w:rsidRDefault="00983AE6" w:rsidP="004B58D5">
      <w:pPr>
        <w:pStyle w:val="Heading5"/>
      </w:pPr>
      <w:bookmarkStart w:id="846" w:name="_Toc481505210"/>
      <w:bookmarkStart w:id="847" w:name="_Toc482274088"/>
      <w:bookmarkStart w:id="848" w:name="_Toc483209525"/>
      <w:bookmarkStart w:id="849" w:name="_Toc483222854"/>
      <w:r w:rsidRPr="006B65B9">
        <w:t>Study load</w:t>
      </w:r>
      <w:bookmarkEnd w:id="846"/>
      <w:bookmarkEnd w:id="847"/>
      <w:bookmarkEnd w:id="848"/>
      <w:bookmarkEnd w:id="849"/>
    </w:p>
    <w:p w14:paraId="7EE864CC" w14:textId="77777777" w:rsidR="00983AE6" w:rsidRPr="00B308AC" w:rsidRDefault="00983AE6" w:rsidP="00983AE6">
      <w:r w:rsidRPr="00B308AC">
        <w:t>Another factor that may be taken into account, is if the student is enrolled in more than one course – whether the number of enrolments and associated course loads would make successful completion of a course by the student impossible or highly improbabl</w:t>
      </w:r>
      <w:r>
        <w:t>e</w:t>
      </w:r>
      <w:r w:rsidRPr="00B308AC">
        <w:t xml:space="preserve">. If the number of the enrolments and associated course loads would make successful completion of a course by the student impossible or highly improbable, this suggests that the student is not genuine </w:t>
      </w:r>
      <w:r w:rsidRPr="00C73C05">
        <w:rPr>
          <w:rStyle w:val="ReferenceChar"/>
        </w:rPr>
        <w:t>[Rules, paragraph 5(2)(f)]</w:t>
      </w:r>
      <w:r w:rsidRPr="00B308AC">
        <w:t>.</w:t>
      </w:r>
    </w:p>
    <w:p w14:paraId="346FE471" w14:textId="77777777" w:rsidR="00983AE6" w:rsidRPr="00B308AC" w:rsidRDefault="00983AE6" w:rsidP="00983AE6">
      <w:r w:rsidRPr="00B308AC">
        <w:t>In determining whether the number of enrolments and associated course loads would make successful completion of a course impossible or improbable, a provider may take into account:</w:t>
      </w:r>
    </w:p>
    <w:p w14:paraId="439B801E" w14:textId="77777777" w:rsidR="00983AE6" w:rsidRPr="00B308AC" w:rsidRDefault="00983AE6" w:rsidP="00983AE6">
      <w:pPr>
        <w:pStyle w:val="ListBullet"/>
      </w:pPr>
      <w:r w:rsidRPr="00B308AC">
        <w:t>whether the student is studying full-time or part-time</w:t>
      </w:r>
    </w:p>
    <w:p w14:paraId="3F8EDA29" w14:textId="77777777" w:rsidR="00983AE6" w:rsidRPr="00B308AC" w:rsidRDefault="00983AE6" w:rsidP="00983AE6">
      <w:pPr>
        <w:pStyle w:val="ListBullet"/>
      </w:pPr>
      <w:r w:rsidRPr="00B308AC">
        <w:t>the number of contact hours for the course including practicums</w:t>
      </w:r>
      <w:r>
        <w:t>;</w:t>
      </w:r>
    </w:p>
    <w:p w14:paraId="665439DF" w14:textId="77777777" w:rsidR="00983AE6" w:rsidRPr="00B308AC" w:rsidRDefault="00983AE6" w:rsidP="00983AE6">
      <w:pPr>
        <w:pStyle w:val="ListBullet"/>
      </w:pPr>
      <w:r w:rsidRPr="00B308AC">
        <w:t>the nature of the assessments for the courses</w:t>
      </w:r>
    </w:p>
    <w:p w14:paraId="483D1E31" w14:textId="4660CE56" w:rsidR="00983AE6" w:rsidRPr="00B308AC" w:rsidRDefault="00983AE6" w:rsidP="00983AE6">
      <w:pPr>
        <w:pStyle w:val="ListBullet"/>
      </w:pPr>
      <w:r w:rsidRPr="00B308AC">
        <w:t xml:space="preserve">a student’s employment commitments </w:t>
      </w:r>
      <w:r w:rsidR="00001A2B">
        <w:t>and/</w:t>
      </w:r>
      <w:r>
        <w:t>or</w:t>
      </w:r>
    </w:p>
    <w:p w14:paraId="6BBC1324" w14:textId="77777777" w:rsidR="00983AE6" w:rsidRPr="00B308AC" w:rsidRDefault="00983AE6" w:rsidP="00983AE6">
      <w:pPr>
        <w:pStyle w:val="ListBullet"/>
      </w:pPr>
      <w:r>
        <w:t xml:space="preserve">any </w:t>
      </w:r>
      <w:r w:rsidRPr="00B308AC">
        <w:t xml:space="preserve">family </w:t>
      </w:r>
      <w:r>
        <w:t xml:space="preserve">or caring </w:t>
      </w:r>
      <w:r w:rsidRPr="00B308AC">
        <w:t>responsibilities.</w:t>
      </w:r>
    </w:p>
    <w:p w14:paraId="29374803" w14:textId="77777777" w:rsidR="00983AE6" w:rsidRPr="00C73C05" w:rsidRDefault="00983AE6" w:rsidP="00983AE6">
      <w:pPr>
        <w:rPr>
          <w:rStyle w:val="Strong"/>
        </w:rPr>
      </w:pPr>
      <w:r w:rsidRPr="00C73C05">
        <w:rPr>
          <w:rStyle w:val="Strong"/>
        </w:rPr>
        <w:t xml:space="preserve">The above indicators are provided for guidance only and do not limit the department (or a provider) from taking into account other relevant factors. </w:t>
      </w:r>
    </w:p>
    <w:p w14:paraId="48D25F59" w14:textId="77777777" w:rsidR="00983AE6" w:rsidRPr="006B65B9" w:rsidRDefault="00983AE6" w:rsidP="003943E5">
      <w:pPr>
        <w:pStyle w:val="Heading5"/>
      </w:pPr>
      <w:bookmarkStart w:id="850" w:name="_Toc481505211"/>
      <w:bookmarkStart w:id="851" w:name="_Toc482274089"/>
      <w:bookmarkStart w:id="852" w:name="_Toc483209526"/>
      <w:bookmarkStart w:id="853" w:name="_Toc483222855"/>
      <w:r w:rsidRPr="006B65B9">
        <w:lastRenderedPageBreak/>
        <w:t>Communication</w:t>
      </w:r>
      <w:bookmarkEnd w:id="850"/>
      <w:bookmarkEnd w:id="851"/>
      <w:bookmarkEnd w:id="852"/>
      <w:bookmarkEnd w:id="853"/>
    </w:p>
    <w:p w14:paraId="49A0C561" w14:textId="77777777" w:rsidR="00983AE6" w:rsidRPr="00B308AC" w:rsidRDefault="00983AE6" w:rsidP="00983AE6">
      <w:r w:rsidRPr="00B308AC">
        <w:t>Adequate communication between students, the provider and the department are essential in demonstrating that a student is a genuine student. Providers should encourage students to maintain up-to-date contact details.</w:t>
      </w:r>
    </w:p>
    <w:p w14:paraId="37C0F13B" w14:textId="77777777" w:rsidR="00983AE6" w:rsidRPr="00B308AC" w:rsidRDefault="00983AE6" w:rsidP="00983AE6">
      <w:r w:rsidRPr="00B308AC">
        <w:t>The following are each factors to be taken into account in determining whether or not a student is a genuine student, whether:</w:t>
      </w:r>
    </w:p>
    <w:p w14:paraId="7FF339D9" w14:textId="77777777" w:rsidR="00983AE6" w:rsidRPr="00B308AC" w:rsidRDefault="00983AE6" w:rsidP="00001A2B">
      <w:pPr>
        <w:pStyle w:val="ListBullet"/>
      </w:pPr>
      <w:r w:rsidRPr="00B308AC">
        <w:t xml:space="preserve">the student has provided up to date contact details to enable the department to contact the student to verify the student’s enrolment in the course </w:t>
      </w:r>
      <w:r w:rsidRPr="00C73C05">
        <w:rPr>
          <w:rStyle w:val="ReferenceChar"/>
        </w:rPr>
        <w:t>[Rules paragraph 5(2)(e)]</w:t>
      </w:r>
      <w:r w:rsidRPr="00AC5725">
        <w:t xml:space="preserve">, </w:t>
      </w:r>
      <w:r w:rsidRPr="00B308AC">
        <w:t xml:space="preserve">and </w:t>
      </w:r>
    </w:p>
    <w:p w14:paraId="30FF3CBC" w14:textId="77777777" w:rsidR="00983AE6" w:rsidRPr="00B308AC" w:rsidRDefault="00983AE6" w:rsidP="00001A2B">
      <w:pPr>
        <w:pStyle w:val="ListBullet"/>
      </w:pPr>
      <w:r w:rsidRPr="00B308AC">
        <w:t xml:space="preserve">when required to do so, the student has communicated his or her agreement for the Secretary of the department to continue to use the VET student loan to pay tuition fees for the course </w:t>
      </w:r>
      <w:r>
        <w:rPr>
          <w:rStyle w:val="ReferenceChar"/>
        </w:rPr>
        <w:t>[Rules </w:t>
      </w:r>
      <w:r w:rsidRPr="00C73C05">
        <w:rPr>
          <w:rStyle w:val="ReferenceChar"/>
        </w:rPr>
        <w:t>paragraph</w:t>
      </w:r>
      <w:r>
        <w:rPr>
          <w:rStyle w:val="ReferenceChar"/>
        </w:rPr>
        <w:t> </w:t>
      </w:r>
      <w:r w:rsidRPr="00C73C05">
        <w:rPr>
          <w:rStyle w:val="ReferenceChar"/>
        </w:rPr>
        <w:t>5(2)(g)]</w:t>
      </w:r>
      <w:r w:rsidRPr="00C73C05">
        <w:t>.</w:t>
      </w:r>
    </w:p>
    <w:p w14:paraId="4AC9B85C" w14:textId="77777777" w:rsidR="00983AE6" w:rsidRPr="00993767" w:rsidRDefault="00983AE6" w:rsidP="00993767">
      <w:pPr>
        <w:rPr>
          <w:rStyle w:val="Strong"/>
          <w:b w:val="0"/>
        </w:rPr>
      </w:pPr>
      <w:r w:rsidRPr="00993767">
        <w:rPr>
          <w:rStyle w:val="Strong"/>
          <w:b w:val="0"/>
        </w:rPr>
        <w:t xml:space="preserve">In accordance with paragraph 98(2)(n) of the Rules, before enrolling a student in an approved course, providers should inform students should about the importance of notifying the provider of any change of contact details. This is included in the </w:t>
      </w:r>
      <w:hyperlink w:anchor="_Appendix_C_–" w:history="1">
        <w:r w:rsidRPr="00993767">
          <w:rPr>
            <w:rStyle w:val="Hyperlink"/>
          </w:rPr>
          <w:t>Checklist at Appendix B</w:t>
        </w:r>
      </w:hyperlink>
      <w:r w:rsidRPr="00993767">
        <w:rPr>
          <w:rStyle w:val="Hyperlink"/>
          <w:b w:val="0"/>
        </w:rPr>
        <w:t>.</w:t>
      </w:r>
      <w:r w:rsidRPr="00993767">
        <w:rPr>
          <w:rStyle w:val="Strong"/>
          <w:b w:val="0"/>
        </w:rPr>
        <w:t xml:space="preserve"> The checklist is provided for the convenience of providers.</w:t>
      </w:r>
    </w:p>
    <w:p w14:paraId="56ED16F7" w14:textId="1A2909BF" w:rsidR="00983AE6" w:rsidRPr="006B65B9" w:rsidRDefault="00983AE6" w:rsidP="003943E5">
      <w:pPr>
        <w:pStyle w:val="Heading5"/>
      </w:pPr>
      <w:bookmarkStart w:id="854" w:name="_Factors_that_may"/>
      <w:bookmarkStart w:id="855" w:name="_Toc483209527"/>
      <w:bookmarkStart w:id="856" w:name="_Toc483222856"/>
      <w:bookmarkEnd w:id="854"/>
      <w:r w:rsidRPr="006B65B9">
        <w:t>Factors that may indicate a lack of engagement</w:t>
      </w:r>
      <w:bookmarkEnd w:id="855"/>
      <w:bookmarkEnd w:id="856"/>
    </w:p>
    <w:p w14:paraId="6096E888" w14:textId="1EF90637" w:rsidR="00983AE6" w:rsidRDefault="00983AE6" w:rsidP="00993767">
      <w:pPr>
        <w:spacing w:after="120"/>
      </w:pPr>
      <w:r w:rsidRPr="00B308AC">
        <w:t>Factors which may suggest that a student is not reasonably engaged with thei</w:t>
      </w:r>
      <w:r w:rsidR="001F442A">
        <w:t>r course include:</w:t>
      </w:r>
      <w:r w:rsidRPr="00B308AC">
        <w:t xml:space="preserve"> </w:t>
      </w:r>
    </w:p>
    <w:p w14:paraId="18638B57" w14:textId="7CAB02B2" w:rsidR="00983AE6" w:rsidRPr="000E73ED" w:rsidRDefault="001F442A" w:rsidP="00983AE6">
      <w:pPr>
        <w:pStyle w:val="ListBullet"/>
      </w:pPr>
      <w:r>
        <w:t xml:space="preserve">if </w:t>
      </w:r>
      <w:r w:rsidR="00983AE6" w:rsidRPr="000E73ED">
        <w:t xml:space="preserve">the student has satisfied course requirements for the course or participated in assessment activities for the course </w:t>
      </w:r>
      <w:r w:rsidR="00983AE6" w:rsidRPr="00C73C05">
        <w:rPr>
          <w:rStyle w:val="ReferenceChar"/>
        </w:rPr>
        <w:t>[Rules paragraph 5(2)(c)]</w:t>
      </w:r>
    </w:p>
    <w:p w14:paraId="3DE54B98" w14:textId="77777777" w:rsidR="00983AE6" w:rsidRPr="00B308AC" w:rsidRDefault="00983AE6" w:rsidP="00983AE6">
      <w:pPr>
        <w:pStyle w:val="ListBullet"/>
      </w:pPr>
      <w:r w:rsidRPr="00EB5AAE">
        <w:t>if the course is an online course—the number of occasions on which the student</w:t>
      </w:r>
      <w:r w:rsidRPr="00B308AC">
        <w:t xml:space="preserve"> has logged in to the course is not insignificant </w:t>
      </w:r>
      <w:r w:rsidRPr="00C73C05">
        <w:rPr>
          <w:rStyle w:val="ReferenceChar"/>
        </w:rPr>
        <w:t>[Rules paragraph 5(2)(d)]</w:t>
      </w:r>
      <w:r w:rsidRPr="00B308AC">
        <w:t>.</w:t>
      </w:r>
    </w:p>
    <w:p w14:paraId="2091C888" w14:textId="7963A5F9" w:rsidR="00983AE6" w:rsidRPr="00B308AC" w:rsidRDefault="001F442A" w:rsidP="00983AE6">
      <w:pPr>
        <w:pStyle w:val="ListBullet"/>
      </w:pPr>
      <w:r>
        <w:t xml:space="preserve">if the student </w:t>
      </w:r>
      <w:r w:rsidR="00983AE6" w:rsidRPr="00B308AC">
        <w:t>has not logged into the student portal at their provider up to and including the day before the census day for a unit</w:t>
      </w:r>
    </w:p>
    <w:p w14:paraId="13C6D9BB" w14:textId="782296EF" w:rsidR="00983AE6" w:rsidRPr="00B308AC" w:rsidRDefault="001F442A" w:rsidP="00983AE6">
      <w:pPr>
        <w:pStyle w:val="ListBullet"/>
      </w:pPr>
      <w:r>
        <w:t xml:space="preserve">if the student </w:t>
      </w:r>
      <w:r w:rsidR="00983AE6" w:rsidRPr="00B308AC">
        <w:t>has not accessed course materials</w:t>
      </w:r>
    </w:p>
    <w:p w14:paraId="4E9BA9FB" w14:textId="754C06CC" w:rsidR="00983AE6" w:rsidRPr="00AC5725" w:rsidRDefault="001F442A" w:rsidP="00983AE6">
      <w:pPr>
        <w:pStyle w:val="ListBullet"/>
      </w:pPr>
      <w:r>
        <w:t xml:space="preserve">if the student </w:t>
      </w:r>
      <w:r w:rsidR="00983AE6" w:rsidRPr="00B308AC">
        <w:t>fails to attend more than a specified number of classes in a row</w:t>
      </w:r>
      <w:r w:rsidR="00983AE6">
        <w:t xml:space="preserve"> </w:t>
      </w:r>
      <w:r w:rsidR="00983AE6" w:rsidRPr="00AC5725">
        <w:t>and/ or</w:t>
      </w:r>
    </w:p>
    <w:p w14:paraId="44D4F439" w14:textId="5A5D38CA" w:rsidR="00983AE6" w:rsidRDefault="001F442A" w:rsidP="00983AE6">
      <w:pPr>
        <w:pStyle w:val="ListBullet"/>
      </w:pPr>
      <w:r>
        <w:t xml:space="preserve">if the student </w:t>
      </w:r>
      <w:r w:rsidR="00983AE6" w:rsidRPr="00B308AC">
        <w:t>has no communication with the provider after enrolment in the course</w:t>
      </w:r>
    </w:p>
    <w:p w14:paraId="38AA1A14" w14:textId="77777777" w:rsidR="00983AE6" w:rsidRPr="00B308AC" w:rsidRDefault="00983AE6" w:rsidP="00983AE6">
      <w:r w:rsidRPr="00B308AC">
        <w:t xml:space="preserve">The above indicators of a possible lack of engagement are provided for guidance only and do not limit a provider from determining its own benchmarks </w:t>
      </w:r>
      <w:r>
        <w:t xml:space="preserve">for </w:t>
      </w:r>
      <w:r w:rsidRPr="00B308AC">
        <w:t>suitable progress.</w:t>
      </w:r>
    </w:p>
    <w:p w14:paraId="70B75644" w14:textId="77777777" w:rsidR="00983AE6" w:rsidRPr="00B308AC" w:rsidRDefault="00983AE6" w:rsidP="00983AE6">
      <w:pPr>
        <w:rPr>
          <w:b/>
        </w:rPr>
      </w:pPr>
      <w:r w:rsidRPr="00B308AC">
        <w:t>It would be open to a provider to use its discretion whether to cancel a student’s enrolment in a course or part of a course for poor attendance or insufficient progress. Where possible, a provider should consider exercising its discretion to cancel the student’s enrolment before the census date for a unit or part of a course. Where a provider cancels a student’s enrolment (for any reason) after the census date, providers must comply with the</w:t>
      </w:r>
      <w:r w:rsidRPr="00B308AC">
        <w:rPr>
          <w:b/>
        </w:rPr>
        <w:t xml:space="preserve"> </w:t>
      </w:r>
      <w:r w:rsidRPr="00C73C05">
        <w:rPr>
          <w:rStyle w:val="Hyperlink"/>
        </w:rPr>
        <w:t>‘</w:t>
      </w:r>
      <w:hyperlink w:anchor="_Toc477960264" w:history="1">
        <w:r w:rsidRPr="00C73C05">
          <w:rPr>
            <w:rStyle w:val="Hyperlink"/>
          </w:rPr>
          <w:t>Processes and procedures for a provider’s cancellation of enrolment</w:t>
        </w:r>
      </w:hyperlink>
      <w:r w:rsidRPr="00C73C05">
        <w:rPr>
          <w:rStyle w:val="Hyperlink"/>
        </w:rPr>
        <w:t>’</w:t>
      </w:r>
      <w:r w:rsidRPr="00C73C05">
        <w:t>.</w:t>
      </w:r>
    </w:p>
    <w:p w14:paraId="675215DB" w14:textId="77777777" w:rsidR="00983AE6" w:rsidRPr="006B65B9" w:rsidRDefault="00983AE6" w:rsidP="003943E5">
      <w:pPr>
        <w:pStyle w:val="Heading5"/>
      </w:pPr>
      <w:bookmarkStart w:id="857" w:name="_Toc483209528"/>
      <w:bookmarkStart w:id="858" w:name="_Toc483222857"/>
      <w:r w:rsidRPr="006B65B9">
        <w:t>Secretary not required to pay loan amounts</w:t>
      </w:r>
      <w:bookmarkEnd w:id="857"/>
      <w:bookmarkEnd w:id="858"/>
      <w:r w:rsidRPr="006B65B9">
        <w:t xml:space="preserve"> </w:t>
      </w:r>
    </w:p>
    <w:p w14:paraId="531D5936" w14:textId="77777777" w:rsidR="00983AE6" w:rsidRPr="00B308AC" w:rsidRDefault="00983AE6" w:rsidP="00983AE6">
      <w:r w:rsidRPr="00B308AC">
        <w:t xml:space="preserve">The Secretary is not required to pay a loan amount for a student for a course if the Secretary is satisfied that the student is not a genuine student </w:t>
      </w:r>
      <w:r w:rsidRPr="00C73C05">
        <w:rPr>
          <w:rStyle w:val="ReferenceChar"/>
        </w:rPr>
        <w:t>[Act subparagraph 20(c)(ii)]</w:t>
      </w:r>
      <w:r w:rsidRPr="00B308AC">
        <w:t xml:space="preserve">. Further the Secretary has the discretion to re-credit a student’s FEE-HELP balance where satisfied that the student is not a genuine student </w:t>
      </w:r>
      <w:r w:rsidRPr="00C73C05">
        <w:rPr>
          <w:rStyle w:val="ReferenceChar"/>
        </w:rPr>
        <w:t>[Act paragraph 71(3)(b)]</w:t>
      </w:r>
      <w:r w:rsidRPr="00B308AC">
        <w:t>.</w:t>
      </w:r>
    </w:p>
    <w:p w14:paraId="27F4409D" w14:textId="77777777" w:rsidR="00983AE6" w:rsidRPr="00147281" w:rsidRDefault="00983AE6" w:rsidP="003943E5">
      <w:pPr>
        <w:pStyle w:val="Heading5"/>
      </w:pPr>
      <w:bookmarkStart w:id="859" w:name="_Toc483209529"/>
      <w:bookmarkStart w:id="860" w:name="_Toc483222858"/>
      <w:r w:rsidRPr="00147281">
        <w:t>Demonstrate adequate course completion rates</w:t>
      </w:r>
      <w:bookmarkEnd w:id="859"/>
      <w:bookmarkEnd w:id="860"/>
    </w:p>
    <w:p w14:paraId="605F9243" w14:textId="77777777" w:rsidR="00983AE6" w:rsidRPr="00B308AC" w:rsidRDefault="00983AE6" w:rsidP="00983AE6">
      <w:r w:rsidRPr="00B308AC">
        <w:t xml:space="preserve">Providers will also need to demonstrate adequate course completion rates and satisfactory levels of student engagement and satisfaction to maintain their approval. Approved course providers will be required to submit unit of study and course completion data to the department. All submitted data </w:t>
      </w:r>
      <w:r w:rsidRPr="00B308AC">
        <w:lastRenderedPageBreak/>
        <w:t>must be accompanied by a statutory declaration (signed by an authorised senior officer) attesting to its validity.</w:t>
      </w:r>
    </w:p>
    <w:p w14:paraId="4D7AFC44" w14:textId="77777777" w:rsidR="00983AE6" w:rsidRPr="00147281" w:rsidRDefault="00983AE6" w:rsidP="003943E5">
      <w:pPr>
        <w:pStyle w:val="Heading5"/>
      </w:pPr>
      <w:bookmarkStart w:id="861" w:name="_Toc483209530"/>
      <w:bookmarkStart w:id="862" w:name="_Toc483222859"/>
      <w:r w:rsidRPr="00147281">
        <w:t>Absence of student engagement</w:t>
      </w:r>
      <w:bookmarkEnd w:id="861"/>
      <w:bookmarkEnd w:id="862"/>
    </w:p>
    <w:p w14:paraId="022C9413" w14:textId="77777777" w:rsidR="00983AE6" w:rsidRDefault="00983AE6" w:rsidP="00983AE6">
      <w:r w:rsidRPr="00B308AC">
        <w:t xml:space="preserve">The absence of student engagement will also be monitored through compliance measures. The Secretary may require a provider to be audited to determine whether its students are genuine students </w:t>
      </w:r>
      <w:r w:rsidRPr="00C73C05">
        <w:rPr>
          <w:rStyle w:val="ReferenceChar"/>
        </w:rPr>
        <w:t>[Act paragraph 45(2)(b)]</w:t>
      </w:r>
      <w:r w:rsidRPr="00C73C05">
        <w:t>.</w:t>
      </w:r>
      <w:r w:rsidRPr="00B308AC">
        <w:t xml:space="preserve"> In addition, the Secretary may impose conditions on a provider’s approval and issue a compliance notice or co</w:t>
      </w:r>
      <w:r>
        <w:t>nsider suspension or revocation</w:t>
      </w:r>
      <w:r w:rsidRPr="00B308AC">
        <w:t xml:space="preserve">. </w:t>
      </w:r>
    </w:p>
    <w:p w14:paraId="03394871" w14:textId="77777777" w:rsidR="00983AE6" w:rsidRPr="005131A5" w:rsidRDefault="00983AE6" w:rsidP="001F442A">
      <w:pPr>
        <w:pStyle w:val="Heading3"/>
        <w:keepNext/>
        <w:keepLines/>
      </w:pPr>
      <w:bookmarkStart w:id="863" w:name="_Toc483222860"/>
      <w:bookmarkStart w:id="864" w:name="_Toc501621212"/>
      <w:r>
        <w:t>4.7.</w:t>
      </w:r>
      <w:r w:rsidR="002A43C1">
        <w:t>4</w:t>
      </w:r>
      <w:r w:rsidR="00DB1CCE">
        <w:t xml:space="preserve">   </w:t>
      </w:r>
      <w:r w:rsidRPr="005131A5">
        <w:t>Students who fail a unit or part of a course</w:t>
      </w:r>
      <w:bookmarkEnd w:id="863"/>
      <w:bookmarkEnd w:id="864"/>
    </w:p>
    <w:p w14:paraId="479CB89F" w14:textId="6442ACEE" w:rsidR="00983AE6" w:rsidRDefault="00983AE6" w:rsidP="00983AE6">
      <w:r>
        <w:t xml:space="preserve">If a student who is accessing a VET Student Loan fails a unit and is required to re-sit the unit, the student may access a VET Student loan </w:t>
      </w:r>
      <w:r w:rsidR="0056749B">
        <w:t xml:space="preserve">in </w:t>
      </w:r>
      <w:r>
        <w:t xml:space="preserve">a subsequent attempt at that unit. </w:t>
      </w:r>
      <w:r w:rsidRPr="00C616D3">
        <w:t>However, the course cap and remaining F</w:t>
      </w:r>
      <w:r w:rsidR="0056749B">
        <w:t>EE-HELP lifetime limit continue</w:t>
      </w:r>
      <w:r w:rsidRPr="00C616D3">
        <w:t xml:space="preserve"> to apply.</w:t>
      </w:r>
    </w:p>
    <w:p w14:paraId="1EE3AA4B" w14:textId="76A5733B" w:rsidR="00983AE6" w:rsidRPr="00C616D3" w:rsidRDefault="00983AE6" w:rsidP="00983AE6">
      <w:r>
        <w:t xml:space="preserve">A </w:t>
      </w:r>
      <w:r w:rsidRPr="00C616D3">
        <w:t xml:space="preserve">provider may provide the student with an updated </w:t>
      </w:r>
      <w:hyperlink w:anchor="_Providing_a_VET" w:history="1">
        <w:r w:rsidRPr="00C73C05">
          <w:rPr>
            <w:rStyle w:val="Hyperlink"/>
          </w:rPr>
          <w:t>Statement of Covered Fees</w:t>
        </w:r>
      </w:hyperlink>
      <w:r>
        <w:t xml:space="preserve">, </w:t>
      </w:r>
      <w:r w:rsidRPr="00C616D3">
        <w:t>recognising that the student’s tuition fees for the course have changed.</w:t>
      </w:r>
      <w:r w:rsidR="0056749B">
        <w:t xml:space="preserve"> </w:t>
      </w:r>
      <w:r w:rsidRPr="00C616D3">
        <w:t>Although this statement is to be provided to the student after enrolment and prior to the first census date, the increased course cost for the student due to the failed unit will alter the information that had been provided in the statement</w:t>
      </w:r>
      <w:r>
        <w:t>. T</w:t>
      </w:r>
      <w:r w:rsidRPr="00C616D3">
        <w:t>herefore</w:t>
      </w:r>
      <w:r>
        <w:t>,</w:t>
      </w:r>
      <w:r w:rsidRPr="00C616D3">
        <w:t xml:space="preserve"> the provider may wish to provide an updated stateme</w:t>
      </w:r>
      <w:r>
        <w:t xml:space="preserve">nt with the student’s next </w:t>
      </w:r>
      <w:hyperlink w:anchor="_Providing_a_VET_1" w:history="1">
        <w:r w:rsidRPr="00C73C05">
          <w:rPr>
            <w:rStyle w:val="Hyperlink"/>
          </w:rPr>
          <w:t>VET Student Loan Fee Notice</w:t>
        </w:r>
      </w:hyperlink>
      <w:r w:rsidRPr="00C73C05">
        <w:t>.</w:t>
      </w:r>
    </w:p>
    <w:p w14:paraId="1F08D39E" w14:textId="77777777" w:rsidR="00983AE6" w:rsidRPr="00C616D3" w:rsidRDefault="00983AE6" w:rsidP="00983AE6">
      <w:r w:rsidRPr="00C616D3">
        <w:t xml:space="preserve">It is a matter for a provider whether its policy and procedures provide for </w:t>
      </w:r>
      <w:r>
        <w:t xml:space="preserve">the </w:t>
      </w:r>
      <w:r w:rsidRPr="00C616D3">
        <w:t>cancellation of a student’s enrolment in a course or part of a course for insufficient progress. If a provider elects to cancel a student’s enrolment after the census day for a unit o</w:t>
      </w:r>
      <w:r>
        <w:t>r part of a course, it must act</w:t>
      </w:r>
      <w:r w:rsidRPr="00C616D3">
        <w:t xml:space="preserve"> in accordance with </w:t>
      </w:r>
      <w:r>
        <w:t xml:space="preserve">the </w:t>
      </w:r>
      <w:r w:rsidRPr="00C73C05">
        <w:t>‘</w:t>
      </w:r>
      <w:hyperlink w:anchor="_Toc481649866" w:history="1">
        <w:r w:rsidRPr="00C73C05">
          <w:rPr>
            <w:rStyle w:val="Hyperlink"/>
          </w:rPr>
          <w:t>Processes and procedures for cancellation of enrolment</w:t>
        </w:r>
      </w:hyperlink>
      <w:r w:rsidRPr="00C73C05">
        <w:t>’.</w:t>
      </w:r>
      <w:r w:rsidRPr="00C616D3">
        <w:t xml:space="preserve"> </w:t>
      </w:r>
    </w:p>
    <w:p w14:paraId="2F620B21" w14:textId="78498342" w:rsidR="00983AE6" w:rsidRPr="00736F23" w:rsidRDefault="0065039C" w:rsidP="00983AE6">
      <w:pPr>
        <w:pStyle w:val="Heading2"/>
      </w:pPr>
      <w:bookmarkStart w:id="865" w:name="_Toc473016838"/>
      <w:bookmarkStart w:id="866" w:name="_Toc473021536"/>
      <w:bookmarkStart w:id="867" w:name="_Toc473021636"/>
      <w:bookmarkStart w:id="868" w:name="_Toc473532500"/>
      <w:bookmarkStart w:id="869" w:name="_Toc473707791"/>
      <w:bookmarkStart w:id="870" w:name="_Toc473708497"/>
      <w:bookmarkStart w:id="871" w:name="_Toc473708576"/>
      <w:bookmarkStart w:id="872" w:name="_Toc473719349"/>
      <w:bookmarkStart w:id="873" w:name="_Toc474396039"/>
      <w:bookmarkStart w:id="874" w:name="_Toc474398243"/>
      <w:bookmarkStart w:id="875" w:name="_Toc474413851"/>
      <w:bookmarkStart w:id="876" w:name="_Toc474485334"/>
      <w:bookmarkStart w:id="877" w:name="_Toc474924631"/>
      <w:bookmarkStart w:id="878" w:name="_Toc475444241"/>
      <w:bookmarkStart w:id="879" w:name="_Toc475444332"/>
      <w:bookmarkStart w:id="880" w:name="_Toc477425517"/>
      <w:bookmarkStart w:id="881" w:name="_Toc477425849"/>
      <w:bookmarkStart w:id="882" w:name="_Toc477505887"/>
      <w:bookmarkStart w:id="883" w:name="_Toc477960028"/>
      <w:bookmarkStart w:id="884" w:name="_Toc477960233"/>
      <w:bookmarkStart w:id="885" w:name="_Toc477960673"/>
      <w:bookmarkStart w:id="886" w:name="_Toc477961112"/>
      <w:bookmarkStart w:id="887" w:name="_Toc477961590"/>
      <w:bookmarkStart w:id="888" w:name="_Toc477962076"/>
      <w:bookmarkStart w:id="889" w:name="_Toc477962563"/>
      <w:bookmarkStart w:id="890" w:name="_Toc477963049"/>
      <w:bookmarkStart w:id="891" w:name="_Toc477963536"/>
      <w:bookmarkStart w:id="892" w:name="_Toc478042728"/>
      <w:bookmarkStart w:id="893" w:name="_Toc478366977"/>
      <w:bookmarkStart w:id="894" w:name="_Toc479083591"/>
      <w:bookmarkStart w:id="895" w:name="_Toc471300247"/>
      <w:bookmarkStart w:id="896" w:name="_Toc471305746"/>
      <w:bookmarkStart w:id="897" w:name="_Toc471306346"/>
      <w:bookmarkStart w:id="898" w:name="_Toc471306862"/>
      <w:bookmarkStart w:id="899" w:name="_Toc471307635"/>
      <w:bookmarkStart w:id="900" w:name="_Toc471300248"/>
      <w:bookmarkStart w:id="901" w:name="_Toc471305747"/>
      <w:bookmarkStart w:id="902" w:name="_Toc471306347"/>
      <w:bookmarkStart w:id="903" w:name="_Toc471306863"/>
      <w:bookmarkStart w:id="904" w:name="_Toc471307636"/>
      <w:bookmarkStart w:id="905" w:name="_Toc471300249"/>
      <w:bookmarkStart w:id="906" w:name="_Toc471305748"/>
      <w:bookmarkStart w:id="907" w:name="_Toc471306348"/>
      <w:bookmarkStart w:id="908" w:name="_Toc471306864"/>
      <w:bookmarkStart w:id="909" w:name="_Toc471307637"/>
      <w:bookmarkStart w:id="910" w:name="_Toc471300250"/>
      <w:bookmarkStart w:id="911" w:name="_Toc471305749"/>
      <w:bookmarkStart w:id="912" w:name="_Toc471306349"/>
      <w:bookmarkStart w:id="913" w:name="_Toc471306865"/>
      <w:bookmarkStart w:id="914" w:name="_Toc471307638"/>
      <w:bookmarkStart w:id="915" w:name="_Toc471300252"/>
      <w:bookmarkStart w:id="916" w:name="_Toc471305751"/>
      <w:bookmarkStart w:id="917" w:name="_Toc471306351"/>
      <w:bookmarkStart w:id="918" w:name="_Toc471306867"/>
      <w:bookmarkStart w:id="919" w:name="_Toc471307640"/>
      <w:bookmarkStart w:id="920" w:name="_Toc471300253"/>
      <w:bookmarkStart w:id="921" w:name="_Toc471305752"/>
      <w:bookmarkStart w:id="922" w:name="_Toc471306352"/>
      <w:bookmarkStart w:id="923" w:name="_Toc471306868"/>
      <w:bookmarkStart w:id="924" w:name="_Toc471307641"/>
      <w:bookmarkStart w:id="925" w:name="_Toc471300254"/>
      <w:bookmarkStart w:id="926" w:name="_Toc471305753"/>
      <w:bookmarkStart w:id="927" w:name="_Toc471306353"/>
      <w:bookmarkStart w:id="928" w:name="_Toc471306869"/>
      <w:bookmarkStart w:id="929" w:name="_Toc471307642"/>
      <w:bookmarkStart w:id="930" w:name="_Toc471300255"/>
      <w:bookmarkStart w:id="931" w:name="_Toc471305754"/>
      <w:bookmarkStart w:id="932" w:name="_Toc471306354"/>
      <w:bookmarkStart w:id="933" w:name="_Toc471306870"/>
      <w:bookmarkStart w:id="934" w:name="_Toc471307643"/>
      <w:bookmarkStart w:id="935" w:name="_Toc471300256"/>
      <w:bookmarkStart w:id="936" w:name="_Toc471305755"/>
      <w:bookmarkStart w:id="937" w:name="_Toc471306355"/>
      <w:bookmarkStart w:id="938" w:name="_Toc471306871"/>
      <w:bookmarkStart w:id="939" w:name="_Toc471307644"/>
      <w:bookmarkStart w:id="940" w:name="_Toc471300257"/>
      <w:bookmarkStart w:id="941" w:name="_Toc471305756"/>
      <w:bookmarkStart w:id="942" w:name="_Toc471306356"/>
      <w:bookmarkStart w:id="943" w:name="_Toc471306872"/>
      <w:bookmarkStart w:id="944" w:name="_Toc471307645"/>
      <w:bookmarkStart w:id="945" w:name="_Toc471300260"/>
      <w:bookmarkStart w:id="946" w:name="_Toc471305759"/>
      <w:bookmarkStart w:id="947" w:name="_Toc471306359"/>
      <w:bookmarkStart w:id="948" w:name="_Toc471306875"/>
      <w:bookmarkStart w:id="949" w:name="_Toc471307648"/>
      <w:bookmarkStart w:id="950" w:name="_Toc471300261"/>
      <w:bookmarkStart w:id="951" w:name="_Toc471305760"/>
      <w:bookmarkStart w:id="952" w:name="_Toc471306360"/>
      <w:bookmarkStart w:id="953" w:name="_Toc471306876"/>
      <w:bookmarkStart w:id="954" w:name="_Toc471307649"/>
      <w:bookmarkStart w:id="955" w:name="_Toc471300262"/>
      <w:bookmarkStart w:id="956" w:name="_Toc471305761"/>
      <w:bookmarkStart w:id="957" w:name="_Toc471306361"/>
      <w:bookmarkStart w:id="958" w:name="_Toc471306877"/>
      <w:bookmarkStart w:id="959" w:name="_Toc471307650"/>
      <w:bookmarkStart w:id="960" w:name="_Toc471300263"/>
      <w:bookmarkStart w:id="961" w:name="_Toc471305762"/>
      <w:bookmarkStart w:id="962" w:name="_Toc471306362"/>
      <w:bookmarkStart w:id="963" w:name="_Toc471306878"/>
      <w:bookmarkStart w:id="964" w:name="_Toc471307651"/>
      <w:bookmarkStart w:id="965" w:name="_Toc471300264"/>
      <w:bookmarkStart w:id="966" w:name="_Toc471305763"/>
      <w:bookmarkStart w:id="967" w:name="_Toc471306363"/>
      <w:bookmarkStart w:id="968" w:name="_Toc471306879"/>
      <w:bookmarkStart w:id="969" w:name="_Toc471307652"/>
      <w:bookmarkStart w:id="970" w:name="_Toc471300265"/>
      <w:bookmarkStart w:id="971" w:name="_Toc471305764"/>
      <w:bookmarkStart w:id="972" w:name="_Toc471306364"/>
      <w:bookmarkStart w:id="973" w:name="_Toc471306880"/>
      <w:bookmarkStart w:id="974" w:name="_Toc471307653"/>
      <w:bookmarkStart w:id="975" w:name="_Toc471300266"/>
      <w:bookmarkStart w:id="976" w:name="_Toc471305765"/>
      <w:bookmarkStart w:id="977" w:name="_Toc471306365"/>
      <w:bookmarkStart w:id="978" w:name="_Toc471306881"/>
      <w:bookmarkStart w:id="979" w:name="_Toc471307654"/>
      <w:bookmarkStart w:id="980" w:name="_Toc471300267"/>
      <w:bookmarkStart w:id="981" w:name="_Toc471305766"/>
      <w:bookmarkStart w:id="982" w:name="_Toc471306366"/>
      <w:bookmarkStart w:id="983" w:name="_Toc471306882"/>
      <w:bookmarkStart w:id="984" w:name="_Toc471307655"/>
      <w:bookmarkStart w:id="985" w:name="_Toc471374382"/>
      <w:bookmarkStart w:id="986" w:name="_Toc471300268"/>
      <w:bookmarkStart w:id="987" w:name="_Toc471305767"/>
      <w:bookmarkStart w:id="988" w:name="_Toc471306367"/>
      <w:bookmarkStart w:id="989" w:name="_Toc471306883"/>
      <w:bookmarkStart w:id="990" w:name="_Toc471307656"/>
      <w:bookmarkStart w:id="991" w:name="_Toc471300269"/>
      <w:bookmarkStart w:id="992" w:name="_Toc471305768"/>
      <w:bookmarkStart w:id="993" w:name="_Toc471306368"/>
      <w:bookmarkStart w:id="994" w:name="_Toc471306884"/>
      <w:bookmarkStart w:id="995" w:name="_Toc471307657"/>
      <w:bookmarkStart w:id="996" w:name="_Toc471300270"/>
      <w:bookmarkStart w:id="997" w:name="_Toc471305769"/>
      <w:bookmarkStart w:id="998" w:name="_Toc471306369"/>
      <w:bookmarkStart w:id="999" w:name="_Toc471306885"/>
      <w:bookmarkStart w:id="1000" w:name="_Toc471307658"/>
      <w:bookmarkStart w:id="1001" w:name="_Toc471300271"/>
      <w:bookmarkStart w:id="1002" w:name="_Toc471305770"/>
      <w:bookmarkStart w:id="1003" w:name="_Toc471306370"/>
      <w:bookmarkStart w:id="1004" w:name="_Toc471306886"/>
      <w:bookmarkStart w:id="1005" w:name="_Toc471307659"/>
      <w:bookmarkStart w:id="1006" w:name="_Toc471300272"/>
      <w:bookmarkStart w:id="1007" w:name="_Toc471305771"/>
      <w:bookmarkStart w:id="1008" w:name="_Toc471306371"/>
      <w:bookmarkStart w:id="1009" w:name="_Toc471306887"/>
      <w:bookmarkStart w:id="1010" w:name="_Toc471307660"/>
      <w:bookmarkStart w:id="1011" w:name="_Toc471300273"/>
      <w:bookmarkStart w:id="1012" w:name="_Toc471305772"/>
      <w:bookmarkStart w:id="1013" w:name="_Toc471306372"/>
      <w:bookmarkStart w:id="1014" w:name="_Toc471306888"/>
      <w:bookmarkStart w:id="1015" w:name="_Toc471307661"/>
      <w:bookmarkStart w:id="1016" w:name="_Toc471374384"/>
      <w:bookmarkStart w:id="1017" w:name="_Toc471300274"/>
      <w:bookmarkStart w:id="1018" w:name="_Toc471305773"/>
      <w:bookmarkStart w:id="1019" w:name="_Toc471306373"/>
      <w:bookmarkStart w:id="1020" w:name="_Toc471306889"/>
      <w:bookmarkStart w:id="1021" w:name="_Toc471307662"/>
      <w:bookmarkStart w:id="1022" w:name="_Toc471300275"/>
      <w:bookmarkStart w:id="1023" w:name="_Toc471305774"/>
      <w:bookmarkStart w:id="1024" w:name="_Toc471306374"/>
      <w:bookmarkStart w:id="1025" w:name="_Toc471306890"/>
      <w:bookmarkStart w:id="1026" w:name="_Toc471307663"/>
      <w:bookmarkStart w:id="1027" w:name="_Toc471300276"/>
      <w:bookmarkStart w:id="1028" w:name="_Toc471305775"/>
      <w:bookmarkStart w:id="1029" w:name="_Toc471306375"/>
      <w:bookmarkStart w:id="1030" w:name="_Toc471306891"/>
      <w:bookmarkStart w:id="1031" w:name="_Toc471307664"/>
      <w:bookmarkStart w:id="1032" w:name="_Toc471300277"/>
      <w:bookmarkStart w:id="1033" w:name="_Toc471305776"/>
      <w:bookmarkStart w:id="1034" w:name="_Toc471306376"/>
      <w:bookmarkStart w:id="1035" w:name="_Toc471306892"/>
      <w:bookmarkStart w:id="1036" w:name="_Toc471307665"/>
      <w:bookmarkStart w:id="1037" w:name="_Toc471300278"/>
      <w:bookmarkStart w:id="1038" w:name="_Toc471305777"/>
      <w:bookmarkStart w:id="1039" w:name="_Toc471306377"/>
      <w:bookmarkStart w:id="1040" w:name="_Toc471306893"/>
      <w:bookmarkStart w:id="1041" w:name="_Toc471307666"/>
      <w:bookmarkStart w:id="1042" w:name="_Toc471300279"/>
      <w:bookmarkStart w:id="1043" w:name="_Toc471305778"/>
      <w:bookmarkStart w:id="1044" w:name="_Toc471306378"/>
      <w:bookmarkStart w:id="1045" w:name="_Toc471306894"/>
      <w:bookmarkStart w:id="1046" w:name="_Toc471307667"/>
      <w:bookmarkStart w:id="1047" w:name="_Toc471300280"/>
      <w:bookmarkStart w:id="1048" w:name="_Toc471305779"/>
      <w:bookmarkStart w:id="1049" w:name="_Toc471306379"/>
      <w:bookmarkStart w:id="1050" w:name="_Toc471306895"/>
      <w:bookmarkStart w:id="1051" w:name="_Toc471307668"/>
      <w:bookmarkStart w:id="1052" w:name="_Toc471300281"/>
      <w:bookmarkStart w:id="1053" w:name="_Toc471305780"/>
      <w:bookmarkStart w:id="1054" w:name="_Toc471306380"/>
      <w:bookmarkStart w:id="1055" w:name="_Toc471306896"/>
      <w:bookmarkStart w:id="1056" w:name="_Toc471307669"/>
      <w:bookmarkStart w:id="1057" w:name="_Toc471300282"/>
      <w:bookmarkStart w:id="1058" w:name="_Toc471305781"/>
      <w:bookmarkStart w:id="1059" w:name="_Toc471306381"/>
      <w:bookmarkStart w:id="1060" w:name="_Toc471306897"/>
      <w:bookmarkStart w:id="1061" w:name="_Toc471307670"/>
      <w:bookmarkStart w:id="1062" w:name="_Toc471300283"/>
      <w:bookmarkStart w:id="1063" w:name="_Toc471305782"/>
      <w:bookmarkStart w:id="1064" w:name="_Toc471306382"/>
      <w:bookmarkStart w:id="1065" w:name="_Toc471306898"/>
      <w:bookmarkStart w:id="1066" w:name="_Toc471307671"/>
      <w:bookmarkStart w:id="1067" w:name="_Toc471300284"/>
      <w:bookmarkStart w:id="1068" w:name="_Toc471305783"/>
      <w:bookmarkStart w:id="1069" w:name="_Toc471306383"/>
      <w:bookmarkStart w:id="1070" w:name="_Toc471306899"/>
      <w:bookmarkStart w:id="1071" w:name="_Toc471307672"/>
      <w:bookmarkStart w:id="1072" w:name="_Toc471300285"/>
      <w:bookmarkStart w:id="1073" w:name="_Toc471305784"/>
      <w:bookmarkStart w:id="1074" w:name="_Toc471306384"/>
      <w:bookmarkStart w:id="1075" w:name="_Toc471306900"/>
      <w:bookmarkStart w:id="1076" w:name="_Toc471307673"/>
      <w:bookmarkStart w:id="1077" w:name="_Toc471300286"/>
      <w:bookmarkStart w:id="1078" w:name="_Toc471305785"/>
      <w:bookmarkStart w:id="1079" w:name="_Toc471306385"/>
      <w:bookmarkStart w:id="1080" w:name="_Toc471306901"/>
      <w:bookmarkStart w:id="1081" w:name="_Toc471307674"/>
      <w:bookmarkStart w:id="1082" w:name="_Toc471300287"/>
      <w:bookmarkStart w:id="1083" w:name="_Toc471305786"/>
      <w:bookmarkStart w:id="1084" w:name="_Toc471306386"/>
      <w:bookmarkStart w:id="1085" w:name="_Toc471306902"/>
      <w:bookmarkStart w:id="1086" w:name="_Toc471307675"/>
      <w:bookmarkStart w:id="1087" w:name="_Toc471300288"/>
      <w:bookmarkStart w:id="1088" w:name="_Toc471305787"/>
      <w:bookmarkStart w:id="1089" w:name="_Toc471306387"/>
      <w:bookmarkStart w:id="1090" w:name="_Toc471306903"/>
      <w:bookmarkStart w:id="1091" w:name="_Toc471307676"/>
      <w:bookmarkStart w:id="1092" w:name="_Toc471300289"/>
      <w:bookmarkStart w:id="1093" w:name="_Toc471305788"/>
      <w:bookmarkStart w:id="1094" w:name="_Toc471306388"/>
      <w:bookmarkStart w:id="1095" w:name="_Toc471306904"/>
      <w:bookmarkStart w:id="1096" w:name="_Toc471307677"/>
      <w:bookmarkStart w:id="1097" w:name="_Toc471300290"/>
      <w:bookmarkStart w:id="1098" w:name="_Toc471305789"/>
      <w:bookmarkStart w:id="1099" w:name="_Toc471306389"/>
      <w:bookmarkStart w:id="1100" w:name="_Toc471306905"/>
      <w:bookmarkStart w:id="1101" w:name="_Toc471307678"/>
      <w:bookmarkStart w:id="1102" w:name="_Toc471300291"/>
      <w:bookmarkStart w:id="1103" w:name="_Toc471305790"/>
      <w:bookmarkStart w:id="1104" w:name="_Toc471306390"/>
      <w:bookmarkStart w:id="1105" w:name="_Toc471306906"/>
      <w:bookmarkStart w:id="1106" w:name="_Toc471307679"/>
      <w:bookmarkStart w:id="1107" w:name="_Toc471300292"/>
      <w:bookmarkStart w:id="1108" w:name="_Toc471305791"/>
      <w:bookmarkStart w:id="1109" w:name="_Toc471306391"/>
      <w:bookmarkStart w:id="1110" w:name="_Toc471306907"/>
      <w:bookmarkStart w:id="1111" w:name="_Toc471307680"/>
      <w:bookmarkStart w:id="1112" w:name="_Toc471300293"/>
      <w:bookmarkStart w:id="1113" w:name="_Toc471305792"/>
      <w:bookmarkStart w:id="1114" w:name="_Toc471306392"/>
      <w:bookmarkStart w:id="1115" w:name="_Toc471306908"/>
      <w:bookmarkStart w:id="1116" w:name="_Toc471307681"/>
      <w:bookmarkStart w:id="1117" w:name="_Toc471300294"/>
      <w:bookmarkStart w:id="1118" w:name="_Toc471305793"/>
      <w:bookmarkStart w:id="1119" w:name="_Toc471306393"/>
      <w:bookmarkStart w:id="1120" w:name="_Toc471306909"/>
      <w:bookmarkStart w:id="1121" w:name="_Toc471307682"/>
      <w:bookmarkStart w:id="1122" w:name="_Toc471300295"/>
      <w:bookmarkStart w:id="1123" w:name="_Toc471305794"/>
      <w:bookmarkStart w:id="1124" w:name="_Toc471306394"/>
      <w:bookmarkStart w:id="1125" w:name="_Toc471306910"/>
      <w:bookmarkStart w:id="1126" w:name="_Toc471307683"/>
      <w:bookmarkStart w:id="1127" w:name="_Toc471300296"/>
      <w:bookmarkStart w:id="1128" w:name="_Toc471305795"/>
      <w:bookmarkStart w:id="1129" w:name="_Toc471306395"/>
      <w:bookmarkStart w:id="1130" w:name="_Toc471306911"/>
      <w:bookmarkStart w:id="1131" w:name="_Toc471307684"/>
      <w:bookmarkStart w:id="1132" w:name="_Toc471300297"/>
      <w:bookmarkStart w:id="1133" w:name="_Toc471305796"/>
      <w:bookmarkStart w:id="1134" w:name="_Toc471306396"/>
      <w:bookmarkStart w:id="1135" w:name="_Toc471306912"/>
      <w:bookmarkStart w:id="1136" w:name="_Toc471307685"/>
      <w:bookmarkStart w:id="1137" w:name="_Toc471300298"/>
      <w:bookmarkStart w:id="1138" w:name="_Toc471305797"/>
      <w:bookmarkStart w:id="1139" w:name="_Toc471306397"/>
      <w:bookmarkStart w:id="1140" w:name="_Toc471306913"/>
      <w:bookmarkStart w:id="1141" w:name="_Toc471307686"/>
      <w:bookmarkStart w:id="1142" w:name="_Toc471300299"/>
      <w:bookmarkStart w:id="1143" w:name="_Toc471305798"/>
      <w:bookmarkStart w:id="1144" w:name="_Toc471306398"/>
      <w:bookmarkStart w:id="1145" w:name="_Toc471306914"/>
      <w:bookmarkStart w:id="1146" w:name="_Toc471307687"/>
      <w:bookmarkStart w:id="1147" w:name="_Toc471300300"/>
      <w:bookmarkStart w:id="1148" w:name="_Toc471305799"/>
      <w:bookmarkStart w:id="1149" w:name="_Toc471306399"/>
      <w:bookmarkStart w:id="1150" w:name="_Toc471306915"/>
      <w:bookmarkStart w:id="1151" w:name="_Toc471307688"/>
      <w:bookmarkStart w:id="1152" w:name="_Toc471374391"/>
      <w:bookmarkStart w:id="1153" w:name="_Toc471300301"/>
      <w:bookmarkStart w:id="1154" w:name="_Toc471305800"/>
      <w:bookmarkStart w:id="1155" w:name="_Toc471306400"/>
      <w:bookmarkStart w:id="1156" w:name="_Toc471306916"/>
      <w:bookmarkStart w:id="1157" w:name="_Toc471307689"/>
      <w:bookmarkStart w:id="1158" w:name="_Toc471300302"/>
      <w:bookmarkStart w:id="1159" w:name="_Toc471305801"/>
      <w:bookmarkStart w:id="1160" w:name="_Toc471306401"/>
      <w:bookmarkStart w:id="1161" w:name="_Toc471306917"/>
      <w:bookmarkStart w:id="1162" w:name="_Toc471307690"/>
      <w:bookmarkStart w:id="1163" w:name="_Toc471300303"/>
      <w:bookmarkStart w:id="1164" w:name="_Toc471305802"/>
      <w:bookmarkStart w:id="1165" w:name="_Toc471306402"/>
      <w:bookmarkStart w:id="1166" w:name="_Toc471306918"/>
      <w:bookmarkStart w:id="1167" w:name="_Toc471307691"/>
      <w:bookmarkStart w:id="1168" w:name="_Toc471300304"/>
      <w:bookmarkStart w:id="1169" w:name="_Toc471305803"/>
      <w:bookmarkStart w:id="1170" w:name="_Toc471306403"/>
      <w:bookmarkStart w:id="1171" w:name="_Toc471306919"/>
      <w:bookmarkStart w:id="1172" w:name="_Toc471307692"/>
      <w:bookmarkStart w:id="1173" w:name="_Toc471300305"/>
      <w:bookmarkStart w:id="1174" w:name="_Toc471305804"/>
      <w:bookmarkStart w:id="1175" w:name="_Toc471306404"/>
      <w:bookmarkStart w:id="1176" w:name="_Toc471306920"/>
      <w:bookmarkStart w:id="1177" w:name="_Toc471307693"/>
      <w:bookmarkStart w:id="1178" w:name="_Toc471300306"/>
      <w:bookmarkStart w:id="1179" w:name="_Toc471305805"/>
      <w:bookmarkStart w:id="1180" w:name="_Toc471306405"/>
      <w:bookmarkStart w:id="1181" w:name="_Toc471306921"/>
      <w:bookmarkStart w:id="1182" w:name="_Toc471307694"/>
      <w:bookmarkStart w:id="1183" w:name="_Toc471300307"/>
      <w:bookmarkStart w:id="1184" w:name="_Toc471305806"/>
      <w:bookmarkStart w:id="1185" w:name="_Toc471306406"/>
      <w:bookmarkStart w:id="1186" w:name="_Toc471306922"/>
      <w:bookmarkStart w:id="1187" w:name="_Toc471307695"/>
      <w:bookmarkStart w:id="1188" w:name="_Toc471300308"/>
      <w:bookmarkStart w:id="1189" w:name="_Toc471305807"/>
      <w:bookmarkStart w:id="1190" w:name="_Toc471306407"/>
      <w:bookmarkStart w:id="1191" w:name="_Toc471306923"/>
      <w:bookmarkStart w:id="1192" w:name="_Toc471307696"/>
      <w:bookmarkStart w:id="1193" w:name="_Toc471300309"/>
      <w:bookmarkStart w:id="1194" w:name="_Toc471305808"/>
      <w:bookmarkStart w:id="1195" w:name="_Toc471306408"/>
      <w:bookmarkStart w:id="1196" w:name="_Toc471306924"/>
      <w:bookmarkStart w:id="1197" w:name="_Toc471307697"/>
      <w:bookmarkStart w:id="1198" w:name="_Toc471300310"/>
      <w:bookmarkStart w:id="1199" w:name="_Toc471305809"/>
      <w:bookmarkStart w:id="1200" w:name="_Toc471306409"/>
      <w:bookmarkStart w:id="1201" w:name="_Toc471306925"/>
      <w:bookmarkStart w:id="1202" w:name="_Toc471307698"/>
      <w:bookmarkStart w:id="1203" w:name="_Toc471300311"/>
      <w:bookmarkStart w:id="1204" w:name="_Toc471305810"/>
      <w:bookmarkStart w:id="1205" w:name="_Toc471306410"/>
      <w:bookmarkStart w:id="1206" w:name="_Toc471306926"/>
      <w:bookmarkStart w:id="1207" w:name="_Toc471307699"/>
      <w:bookmarkStart w:id="1208" w:name="_Toc471300312"/>
      <w:bookmarkStart w:id="1209" w:name="_Toc471305811"/>
      <w:bookmarkStart w:id="1210" w:name="_Toc471306411"/>
      <w:bookmarkStart w:id="1211" w:name="_Toc471306927"/>
      <w:bookmarkStart w:id="1212" w:name="_Toc471307700"/>
      <w:bookmarkStart w:id="1213" w:name="_Toc471300313"/>
      <w:bookmarkStart w:id="1214" w:name="_Toc471305812"/>
      <w:bookmarkStart w:id="1215" w:name="_Toc471306412"/>
      <w:bookmarkStart w:id="1216" w:name="_Toc471306928"/>
      <w:bookmarkStart w:id="1217" w:name="_Toc471307701"/>
      <w:bookmarkStart w:id="1218" w:name="_Toc471300314"/>
      <w:bookmarkStart w:id="1219" w:name="_Toc471305813"/>
      <w:bookmarkStart w:id="1220" w:name="_Toc471306413"/>
      <w:bookmarkStart w:id="1221" w:name="_Toc471306929"/>
      <w:bookmarkStart w:id="1222" w:name="_Toc471307702"/>
      <w:bookmarkStart w:id="1223" w:name="_Toc471300315"/>
      <w:bookmarkStart w:id="1224" w:name="_Toc471305814"/>
      <w:bookmarkStart w:id="1225" w:name="_Toc471306414"/>
      <w:bookmarkStart w:id="1226" w:name="_Toc471306930"/>
      <w:bookmarkStart w:id="1227" w:name="_Toc471307703"/>
      <w:bookmarkStart w:id="1228" w:name="_Toc471300316"/>
      <w:bookmarkStart w:id="1229" w:name="_Toc471305815"/>
      <w:bookmarkStart w:id="1230" w:name="_Toc471306415"/>
      <w:bookmarkStart w:id="1231" w:name="_Toc471306931"/>
      <w:bookmarkStart w:id="1232" w:name="_Toc471307704"/>
      <w:bookmarkStart w:id="1233" w:name="_Toc471300317"/>
      <w:bookmarkStart w:id="1234" w:name="_Toc471305816"/>
      <w:bookmarkStart w:id="1235" w:name="_Toc471306416"/>
      <w:bookmarkStart w:id="1236" w:name="_Toc471306932"/>
      <w:bookmarkStart w:id="1237" w:name="_Toc471307705"/>
      <w:bookmarkStart w:id="1238" w:name="_Toc471300318"/>
      <w:bookmarkStart w:id="1239" w:name="_Toc471305817"/>
      <w:bookmarkStart w:id="1240" w:name="_Toc471306417"/>
      <w:bookmarkStart w:id="1241" w:name="_Toc471306933"/>
      <w:bookmarkStart w:id="1242" w:name="_Toc471307706"/>
      <w:bookmarkStart w:id="1243" w:name="_Toc471300319"/>
      <w:bookmarkStart w:id="1244" w:name="_Toc471305818"/>
      <w:bookmarkStart w:id="1245" w:name="_Toc471306418"/>
      <w:bookmarkStart w:id="1246" w:name="_Toc471306934"/>
      <w:bookmarkStart w:id="1247" w:name="_Toc471307707"/>
      <w:bookmarkStart w:id="1248" w:name="_Toc471300320"/>
      <w:bookmarkStart w:id="1249" w:name="_Toc471305819"/>
      <w:bookmarkStart w:id="1250" w:name="_Toc471306419"/>
      <w:bookmarkStart w:id="1251" w:name="_Toc471306935"/>
      <w:bookmarkStart w:id="1252" w:name="_Toc471307708"/>
      <w:bookmarkStart w:id="1253" w:name="_Toc471300321"/>
      <w:bookmarkStart w:id="1254" w:name="_Toc471305820"/>
      <w:bookmarkStart w:id="1255" w:name="_Toc471306420"/>
      <w:bookmarkStart w:id="1256" w:name="_Toc471306936"/>
      <w:bookmarkStart w:id="1257" w:name="_Toc471307709"/>
      <w:bookmarkStart w:id="1258" w:name="_Toc471300322"/>
      <w:bookmarkStart w:id="1259" w:name="_Toc471305821"/>
      <w:bookmarkStart w:id="1260" w:name="_Toc471306421"/>
      <w:bookmarkStart w:id="1261" w:name="_Toc471306937"/>
      <w:bookmarkStart w:id="1262" w:name="_Toc471307710"/>
      <w:bookmarkStart w:id="1263" w:name="_Toc471300323"/>
      <w:bookmarkStart w:id="1264" w:name="_Toc471305822"/>
      <w:bookmarkStart w:id="1265" w:name="_Toc471306422"/>
      <w:bookmarkStart w:id="1266" w:name="_Toc471306938"/>
      <w:bookmarkStart w:id="1267" w:name="_Toc471307711"/>
      <w:bookmarkStart w:id="1268" w:name="_Toc471300324"/>
      <w:bookmarkStart w:id="1269" w:name="_Toc471305823"/>
      <w:bookmarkStart w:id="1270" w:name="_Toc471306423"/>
      <w:bookmarkStart w:id="1271" w:name="_Toc471306939"/>
      <w:bookmarkStart w:id="1272" w:name="_Toc471307712"/>
      <w:bookmarkStart w:id="1273" w:name="_Toc471300325"/>
      <w:bookmarkStart w:id="1274" w:name="_Toc471305824"/>
      <w:bookmarkStart w:id="1275" w:name="_Toc471306424"/>
      <w:bookmarkStart w:id="1276" w:name="_Toc471306940"/>
      <w:bookmarkStart w:id="1277" w:name="_Toc471307713"/>
      <w:bookmarkStart w:id="1278" w:name="_Toc471374396"/>
      <w:bookmarkStart w:id="1279" w:name="_Toc471300326"/>
      <w:bookmarkStart w:id="1280" w:name="_Toc471305825"/>
      <w:bookmarkStart w:id="1281" w:name="_Toc471306425"/>
      <w:bookmarkStart w:id="1282" w:name="_Toc471306941"/>
      <w:bookmarkStart w:id="1283" w:name="_Toc471307714"/>
      <w:bookmarkStart w:id="1284" w:name="_Toc471300327"/>
      <w:bookmarkStart w:id="1285" w:name="_Toc471305826"/>
      <w:bookmarkStart w:id="1286" w:name="_Toc471306426"/>
      <w:bookmarkStart w:id="1287" w:name="_Toc471306942"/>
      <w:bookmarkStart w:id="1288" w:name="_Toc471307715"/>
      <w:bookmarkStart w:id="1289" w:name="_4.8_Processes_and"/>
      <w:bookmarkStart w:id="1290" w:name="_Toc471374398"/>
      <w:bookmarkStart w:id="1291" w:name="_Toc477960029"/>
      <w:bookmarkStart w:id="1292" w:name="_Toc483222861"/>
      <w:bookmarkStart w:id="1293" w:name="_Toc501621213"/>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t>4.8 Processes</w:t>
      </w:r>
      <w:r w:rsidR="00983AE6" w:rsidRPr="00736F23">
        <w:t xml:space="preserve"> and procedures</w:t>
      </w:r>
      <w:bookmarkEnd w:id="1290"/>
      <w:bookmarkEnd w:id="1291"/>
      <w:bookmarkEnd w:id="1292"/>
      <w:bookmarkEnd w:id="1293"/>
      <w:r w:rsidR="00983AE6" w:rsidRPr="00736F23">
        <w:t xml:space="preserve"> </w:t>
      </w:r>
    </w:p>
    <w:p w14:paraId="5F51CA3A" w14:textId="49B222F0" w:rsidR="003511F2" w:rsidRPr="00736F23" w:rsidRDefault="002A43C1">
      <w:r>
        <w:t>An a</w:t>
      </w:r>
      <w:r w:rsidRPr="00736F23">
        <w:t xml:space="preserve">pproved </w:t>
      </w:r>
      <w:r>
        <w:t xml:space="preserve">course </w:t>
      </w:r>
      <w:r w:rsidRPr="00736F23">
        <w:t xml:space="preserve">provider must have in place, and act in accordance with, the processes and procedures </w:t>
      </w:r>
      <w:r>
        <w:t>set out at section 48 of the Act.</w:t>
      </w:r>
    </w:p>
    <w:p w14:paraId="5FC7F9B8" w14:textId="74DE5745" w:rsidR="007F36AB" w:rsidRDefault="00C94B34" w:rsidP="002A43C1">
      <w:pPr>
        <w:spacing w:after="120"/>
        <w:rPr>
          <w:rFonts w:ascii="Calibri" w:eastAsia="Calibri" w:hAnsi="Calibri" w:cs="Calibri"/>
        </w:rPr>
      </w:pPr>
      <w:r>
        <w:rPr>
          <w:rFonts w:ascii="Calibri" w:eastAsia="Calibri" w:hAnsi="Calibri" w:cs="Calibri"/>
        </w:rPr>
        <w:t>Th</w:t>
      </w:r>
      <w:r w:rsidR="003511F2">
        <w:rPr>
          <w:rFonts w:ascii="Calibri" w:eastAsia="Calibri" w:hAnsi="Calibri" w:cs="Calibri"/>
        </w:rPr>
        <w:t>e</w:t>
      </w:r>
      <w:r>
        <w:rPr>
          <w:rFonts w:ascii="Calibri" w:eastAsia="Calibri" w:hAnsi="Calibri" w:cs="Calibri"/>
        </w:rPr>
        <w:t xml:space="preserve"> </w:t>
      </w:r>
      <w:r w:rsidR="00C36EDC">
        <w:rPr>
          <w:rFonts w:ascii="Calibri" w:eastAsia="Calibri" w:hAnsi="Calibri" w:cs="Calibri"/>
        </w:rPr>
        <w:t>application of these requirements covers</w:t>
      </w:r>
      <w:r w:rsidR="007F36AB">
        <w:rPr>
          <w:rFonts w:ascii="Calibri" w:eastAsia="Calibri" w:hAnsi="Calibri" w:cs="Calibri"/>
        </w:rPr>
        <w:t xml:space="preserve"> all approved course providers with respect to all students enrolled in approved courses who are or could be eligible for a VET Student Loan, whether or not they choose to apply for a loan. </w:t>
      </w:r>
      <w:r w:rsidR="00525ABB">
        <w:rPr>
          <w:rFonts w:ascii="Calibri" w:eastAsia="Calibri" w:hAnsi="Calibri" w:cs="Calibri"/>
        </w:rPr>
        <w:t>(This excludes students who do not meet the residency requirements, such as international students)</w:t>
      </w:r>
      <w:r w:rsidR="0056749B">
        <w:rPr>
          <w:rFonts w:ascii="Calibri" w:eastAsia="Calibri" w:hAnsi="Calibri" w:cs="Calibri"/>
        </w:rPr>
        <w:t>.</w:t>
      </w:r>
    </w:p>
    <w:p w14:paraId="15C40234" w14:textId="77777777" w:rsidR="003511F2" w:rsidRPr="00C36EDC" w:rsidRDefault="003511F2" w:rsidP="003511F2">
      <w:pPr>
        <w:spacing w:after="120"/>
        <w:rPr>
          <w:rFonts w:ascii="Calibri" w:eastAsia="Calibri" w:hAnsi="Calibri" w:cs="Calibri"/>
          <w:b/>
          <w:color w:val="002060"/>
        </w:rPr>
      </w:pPr>
      <w:r w:rsidRPr="00C36EDC">
        <w:rPr>
          <w:rFonts w:ascii="Calibri" w:eastAsia="Calibri" w:hAnsi="Calibri" w:cs="Calibri"/>
          <w:b/>
          <w:color w:val="002060"/>
        </w:rPr>
        <w:t>Processes and procedures summary</w:t>
      </w:r>
    </w:p>
    <w:p w14:paraId="1B95501F" w14:textId="77777777" w:rsidR="003511F2" w:rsidRPr="00C73C05" w:rsidRDefault="0016765E" w:rsidP="003511F2">
      <w:pPr>
        <w:pStyle w:val="ListBullet"/>
        <w:rPr>
          <w:rStyle w:val="Hyperlink"/>
        </w:rPr>
      </w:pPr>
      <w:hyperlink w:anchor="_Student_entry" w:history="1">
        <w:r w:rsidR="003511F2" w:rsidRPr="00C73C05">
          <w:rPr>
            <w:rStyle w:val="Hyperlink"/>
          </w:rPr>
          <w:t>Processes and procedures relating to student entry</w:t>
        </w:r>
      </w:hyperlink>
      <w:r w:rsidR="003511F2" w:rsidRPr="00C73C05">
        <w:rPr>
          <w:rStyle w:val="Hyperlink"/>
        </w:rPr>
        <w:t xml:space="preserve"> </w:t>
      </w:r>
    </w:p>
    <w:p w14:paraId="4A2F76D3" w14:textId="77777777" w:rsidR="003511F2" w:rsidRPr="00C73C05" w:rsidRDefault="0016765E" w:rsidP="003511F2">
      <w:pPr>
        <w:pStyle w:val="ListBullet"/>
        <w:rPr>
          <w:rStyle w:val="Hyperlink"/>
        </w:rPr>
      </w:pPr>
      <w:hyperlink w:anchor="_Processes_and_procedures" w:history="1">
        <w:r w:rsidR="003511F2" w:rsidRPr="00C73C05">
          <w:rPr>
            <w:rStyle w:val="Hyperlink"/>
          </w:rPr>
          <w:t>Processes and procedures for enrolment in courses</w:t>
        </w:r>
      </w:hyperlink>
      <w:r w:rsidR="003511F2" w:rsidRPr="00C73C05">
        <w:rPr>
          <w:rStyle w:val="Hyperlink"/>
        </w:rPr>
        <w:t xml:space="preserve"> </w:t>
      </w:r>
    </w:p>
    <w:p w14:paraId="19EE5405" w14:textId="77777777" w:rsidR="003511F2" w:rsidRPr="00C73C05" w:rsidRDefault="0016765E" w:rsidP="003511F2">
      <w:pPr>
        <w:pStyle w:val="ListBullet"/>
        <w:rPr>
          <w:rStyle w:val="Hyperlink"/>
        </w:rPr>
      </w:pPr>
      <w:hyperlink w:anchor="_Processes_and_procedures_1" w:history="1">
        <w:r w:rsidR="003511F2" w:rsidRPr="00C73C05">
          <w:rPr>
            <w:rStyle w:val="Hyperlink"/>
          </w:rPr>
          <w:t xml:space="preserve">Processes and procedures for information relating to applications for </w:t>
        </w:r>
        <w:r w:rsidR="003511F2">
          <w:rPr>
            <w:rStyle w:val="Hyperlink"/>
          </w:rPr>
          <w:t>VET Student Loans</w:t>
        </w:r>
      </w:hyperlink>
      <w:r w:rsidR="003511F2" w:rsidRPr="00C73C05">
        <w:rPr>
          <w:rStyle w:val="Hyperlink"/>
        </w:rPr>
        <w:t xml:space="preserve"> </w:t>
      </w:r>
    </w:p>
    <w:p w14:paraId="671A15B6" w14:textId="77777777" w:rsidR="003511F2" w:rsidRPr="00C73C05" w:rsidRDefault="0016765E" w:rsidP="003511F2">
      <w:pPr>
        <w:pStyle w:val="ListBullet"/>
        <w:rPr>
          <w:rStyle w:val="Hyperlink"/>
        </w:rPr>
      </w:pPr>
      <w:hyperlink w:anchor="_Toc471374411" w:history="1">
        <w:r w:rsidR="003511F2" w:rsidRPr="00C73C05">
          <w:rPr>
            <w:rStyle w:val="Hyperlink"/>
          </w:rPr>
          <w:t>Processes and procedures for students to withdraw from a course</w:t>
        </w:r>
      </w:hyperlink>
      <w:r w:rsidR="003511F2" w:rsidRPr="00C73C05">
        <w:rPr>
          <w:rStyle w:val="Hyperlink"/>
        </w:rPr>
        <w:t xml:space="preserve"> </w:t>
      </w:r>
    </w:p>
    <w:p w14:paraId="6EBFD569" w14:textId="77777777" w:rsidR="003511F2" w:rsidRPr="00C73C05" w:rsidRDefault="0016765E" w:rsidP="003511F2">
      <w:pPr>
        <w:pStyle w:val="ListBullet"/>
        <w:rPr>
          <w:rStyle w:val="Hyperlink"/>
        </w:rPr>
      </w:pPr>
      <w:hyperlink w:anchor="_Processes_and_procedures_2" w:history="1">
        <w:r w:rsidR="003511F2" w:rsidRPr="00C73C05">
          <w:rPr>
            <w:rStyle w:val="Hyperlink"/>
          </w:rPr>
          <w:t>Processes and procedures for cancellation of enrolment</w:t>
        </w:r>
      </w:hyperlink>
      <w:r w:rsidR="003511F2" w:rsidRPr="00C73C05">
        <w:rPr>
          <w:rStyle w:val="Hyperlink"/>
        </w:rPr>
        <w:t xml:space="preserve"> </w:t>
      </w:r>
    </w:p>
    <w:p w14:paraId="506B055E" w14:textId="77777777" w:rsidR="003511F2" w:rsidRPr="00C73C05" w:rsidRDefault="0016765E" w:rsidP="003511F2">
      <w:pPr>
        <w:pStyle w:val="ListBullet"/>
        <w:rPr>
          <w:rStyle w:val="Hyperlink"/>
        </w:rPr>
      </w:pPr>
      <w:hyperlink w:anchor="_Processes_and_procedures_3" w:history="1">
        <w:r w:rsidR="003511F2" w:rsidRPr="00C73C05">
          <w:rPr>
            <w:rStyle w:val="Hyperlink"/>
          </w:rPr>
          <w:t>Processes and procedures for managing student complaints</w:t>
        </w:r>
      </w:hyperlink>
      <w:r w:rsidR="003511F2" w:rsidRPr="00C73C05">
        <w:rPr>
          <w:rStyle w:val="Hyperlink"/>
        </w:rPr>
        <w:t xml:space="preserve"> </w:t>
      </w:r>
    </w:p>
    <w:p w14:paraId="34B9DA77" w14:textId="77777777" w:rsidR="003511F2" w:rsidRPr="00C73C05" w:rsidRDefault="0016765E" w:rsidP="003511F2">
      <w:pPr>
        <w:pStyle w:val="ListBullet"/>
        <w:rPr>
          <w:rStyle w:val="Hyperlink"/>
        </w:rPr>
      </w:pPr>
      <w:hyperlink w:anchor="_Toc471374440" w:history="1">
        <w:r w:rsidR="003511F2" w:rsidRPr="00C73C05">
          <w:rPr>
            <w:rStyle w:val="Hyperlink"/>
          </w:rPr>
          <w:t>Procedures and procedures in relation to fees</w:t>
        </w:r>
      </w:hyperlink>
      <w:r w:rsidR="003511F2" w:rsidRPr="00C73C05">
        <w:rPr>
          <w:rStyle w:val="Hyperlink"/>
        </w:rPr>
        <w:t xml:space="preserve"> </w:t>
      </w:r>
    </w:p>
    <w:p w14:paraId="58FECF9C" w14:textId="236D8A32" w:rsidR="003511F2" w:rsidRDefault="0016765E" w:rsidP="003511F2">
      <w:pPr>
        <w:pStyle w:val="ListBullet"/>
        <w:rPr>
          <w:rStyle w:val="Hyperlink"/>
        </w:rPr>
      </w:pPr>
      <w:hyperlink w:anchor="_Processes_and_procedures_4" w:history="1">
        <w:r w:rsidR="003511F2" w:rsidRPr="00C73C05">
          <w:rPr>
            <w:rStyle w:val="Hyperlink"/>
          </w:rPr>
          <w:t>Processes and procedures for re-crediting a FEE-HELP balance</w:t>
        </w:r>
      </w:hyperlink>
      <w:r w:rsidR="003511F2" w:rsidRPr="00C73C05">
        <w:rPr>
          <w:rStyle w:val="Hyperlink"/>
        </w:rPr>
        <w:t xml:space="preserve"> </w:t>
      </w:r>
    </w:p>
    <w:p w14:paraId="3C5B5853" w14:textId="10211B95" w:rsidR="008A0630" w:rsidRPr="00C73C05" w:rsidRDefault="0016765E" w:rsidP="003511F2">
      <w:pPr>
        <w:pStyle w:val="ListBullet"/>
        <w:rPr>
          <w:rStyle w:val="Hyperlink"/>
        </w:rPr>
      </w:pPr>
      <w:hyperlink w:anchor="_4.8.16__" w:history="1">
        <w:r w:rsidR="008A0630" w:rsidRPr="00427ACC">
          <w:rPr>
            <w:rStyle w:val="Hyperlink"/>
          </w:rPr>
          <w:t>Processes and procedures for handling information</w:t>
        </w:r>
      </w:hyperlink>
    </w:p>
    <w:p w14:paraId="426F7F58" w14:textId="77777777" w:rsidR="00C36EDC" w:rsidRPr="0028499D" w:rsidRDefault="003511F2" w:rsidP="00F15113">
      <w:pPr>
        <w:pStyle w:val="Heading3"/>
        <w:keepNext/>
        <w:keepLines/>
        <w:rPr>
          <w:b w:val="0"/>
        </w:rPr>
      </w:pPr>
      <w:bookmarkStart w:id="1294" w:name="_Toc501621214"/>
      <w:r>
        <w:t xml:space="preserve">4.8.1   </w:t>
      </w:r>
      <w:r w:rsidR="00C36EDC" w:rsidRPr="0028499D">
        <w:t>Staff training in processes and procedures</w:t>
      </w:r>
      <w:bookmarkEnd w:id="1294"/>
    </w:p>
    <w:p w14:paraId="4A752D7B" w14:textId="77777777" w:rsidR="00C36EDC" w:rsidRDefault="007F36AB" w:rsidP="007F36AB">
      <w:pPr>
        <w:rPr>
          <w:rStyle w:val="ReferenceChar"/>
          <w:b w:val="0"/>
          <w:color w:val="auto"/>
          <w:sz w:val="22"/>
        </w:rPr>
      </w:pPr>
      <w:r>
        <w:t>An a</w:t>
      </w:r>
      <w:r w:rsidRPr="00736F23">
        <w:t>pproved</w:t>
      </w:r>
      <w:r>
        <w:t xml:space="preserve"> course</w:t>
      </w:r>
      <w:r w:rsidRPr="00736F23">
        <w:t xml:space="preserve"> provider must train its officers on the processes and procedures</w:t>
      </w:r>
      <w:r>
        <w:t xml:space="preserve"> that are relevant to the officer’s duties and responsibilities </w:t>
      </w:r>
      <w:r w:rsidRPr="00C73C05">
        <w:rPr>
          <w:rStyle w:val="ReferenceChar"/>
        </w:rPr>
        <w:t>[Rules s 78]</w:t>
      </w:r>
      <w:r w:rsidRPr="00AF0B69">
        <w:rPr>
          <w:rStyle w:val="ReferenceChar"/>
          <w:b w:val="0"/>
          <w:color w:val="auto"/>
          <w:sz w:val="22"/>
        </w:rPr>
        <w:t>.</w:t>
      </w:r>
    </w:p>
    <w:p w14:paraId="0C5EB1B6" w14:textId="77777777" w:rsidR="007F36AB" w:rsidRPr="0028499D" w:rsidRDefault="003511F2" w:rsidP="005F076C">
      <w:pPr>
        <w:pStyle w:val="Heading3"/>
        <w:keepNext/>
        <w:keepLines/>
      </w:pPr>
      <w:bookmarkStart w:id="1295" w:name="_Toc501621215"/>
      <w:r>
        <w:rPr>
          <w:rFonts w:eastAsia="Calibri"/>
        </w:rPr>
        <w:lastRenderedPageBreak/>
        <w:t xml:space="preserve">4.8.2   </w:t>
      </w:r>
      <w:r w:rsidR="00C36EDC">
        <w:rPr>
          <w:rFonts w:eastAsia="Calibri"/>
        </w:rPr>
        <w:t>Processes and procedures p</w:t>
      </w:r>
      <w:r w:rsidR="00C36EDC" w:rsidRPr="00C36EDC">
        <w:rPr>
          <w:rFonts w:eastAsia="Calibri"/>
        </w:rPr>
        <w:t xml:space="preserve">ublishing </w:t>
      </w:r>
      <w:r w:rsidR="00C36EDC" w:rsidRPr="0028499D">
        <w:t>requirements</w:t>
      </w:r>
      <w:bookmarkEnd w:id="1295"/>
    </w:p>
    <w:p w14:paraId="27D4476B" w14:textId="77777777" w:rsidR="00DD2F1E" w:rsidRDefault="00DD2F1E" w:rsidP="007F36AB">
      <w:pPr>
        <w:spacing w:after="120"/>
        <w:rPr>
          <w:rFonts w:ascii="Calibri" w:eastAsia="Calibri" w:hAnsi="Calibri" w:cs="Calibri"/>
        </w:rPr>
      </w:pPr>
      <w:r>
        <w:rPr>
          <w:rFonts w:ascii="Calibri" w:eastAsia="Calibri" w:hAnsi="Calibri" w:cs="Calibri"/>
        </w:rPr>
        <w:t xml:space="preserve">An approved course provider must publish the processes and procedures prominently on its website in a way that is easily accessible without the need for login information </w:t>
      </w:r>
      <w:r w:rsidRPr="00515459">
        <w:rPr>
          <w:rFonts w:ascii="Calibri" w:eastAsia="Calibri" w:hAnsi="Calibri" w:cs="Calibri"/>
        </w:rPr>
        <w:t xml:space="preserve">– </w:t>
      </w:r>
      <w:r>
        <w:rPr>
          <w:rFonts w:ascii="Calibri" w:eastAsia="Calibri" w:hAnsi="Calibri" w:cs="Calibri"/>
        </w:rPr>
        <w:t>that is,</w:t>
      </w:r>
      <w:r w:rsidRPr="00515459">
        <w:rPr>
          <w:rFonts w:ascii="Calibri" w:eastAsia="Calibri" w:hAnsi="Calibri" w:cs="Calibri"/>
        </w:rPr>
        <w:t> must not require a person to submit their personal information i</w:t>
      </w:r>
      <w:r>
        <w:rPr>
          <w:rFonts w:ascii="Calibri" w:eastAsia="Calibri" w:hAnsi="Calibri" w:cs="Calibri"/>
        </w:rPr>
        <w:t xml:space="preserve">n order to view the information </w:t>
      </w:r>
      <w:r w:rsidRPr="00C73C05">
        <w:rPr>
          <w:rStyle w:val="ReferenceChar"/>
        </w:rPr>
        <w:t>[Rules s 79]</w:t>
      </w:r>
      <w:r w:rsidRPr="00785C50">
        <w:t>.</w:t>
      </w:r>
    </w:p>
    <w:p w14:paraId="15C4A579" w14:textId="500AB3EB" w:rsidR="007F36AB" w:rsidRDefault="007F36AB" w:rsidP="007F36AB">
      <w:pPr>
        <w:spacing w:after="120"/>
        <w:rPr>
          <w:rFonts w:ascii="Calibri" w:eastAsia="Calibri" w:hAnsi="Calibri" w:cs="Calibri"/>
        </w:rPr>
      </w:pPr>
      <w:r w:rsidRPr="00515459">
        <w:rPr>
          <w:rFonts w:ascii="Calibri" w:eastAsia="Calibri" w:hAnsi="Calibri" w:cs="Calibri"/>
        </w:rPr>
        <w:t xml:space="preserve">Where the legislation identifies that a provider must publish information about VSL on </w:t>
      </w:r>
      <w:r w:rsidR="003511F2">
        <w:rPr>
          <w:rFonts w:ascii="Calibri" w:eastAsia="Calibri" w:hAnsi="Calibri" w:cs="Calibri"/>
        </w:rPr>
        <w:t>its</w:t>
      </w:r>
      <w:r w:rsidR="003511F2" w:rsidRPr="00515459">
        <w:rPr>
          <w:rFonts w:ascii="Calibri" w:eastAsia="Calibri" w:hAnsi="Calibri" w:cs="Calibri"/>
        </w:rPr>
        <w:t xml:space="preserve"> </w:t>
      </w:r>
      <w:r w:rsidRPr="00515459">
        <w:rPr>
          <w:rFonts w:ascii="Calibri" w:eastAsia="Calibri" w:hAnsi="Calibri" w:cs="Calibri"/>
        </w:rPr>
        <w:t xml:space="preserve">website, a provider should ensure that the content is published in a way that meets the requirements of both the Rules </w:t>
      </w:r>
      <w:r w:rsidR="00505611">
        <w:rPr>
          <w:rFonts w:ascii="Calibri" w:eastAsia="Calibri" w:hAnsi="Calibri" w:cs="Calibri"/>
        </w:rPr>
        <w:t xml:space="preserve">and </w:t>
      </w:r>
      <w:r>
        <w:rPr>
          <w:rFonts w:ascii="Calibri" w:eastAsia="Calibri" w:hAnsi="Calibri" w:cs="Calibri"/>
        </w:rPr>
        <w:t xml:space="preserve">the </w:t>
      </w:r>
      <w:r w:rsidRPr="00515459">
        <w:rPr>
          <w:rFonts w:ascii="Calibri" w:eastAsia="Calibri" w:hAnsi="Calibri" w:cs="Calibri"/>
        </w:rPr>
        <w:t>Act. For example, some of the information that a p</w:t>
      </w:r>
      <w:r>
        <w:rPr>
          <w:rFonts w:ascii="Calibri" w:eastAsia="Calibri" w:hAnsi="Calibri" w:cs="Calibri"/>
        </w:rPr>
        <w:t xml:space="preserve">rovider must publish includes: </w:t>
      </w:r>
    </w:p>
    <w:p w14:paraId="340CBF04" w14:textId="77777777" w:rsidR="007F36AB" w:rsidRPr="0097236C" w:rsidRDefault="007F36AB" w:rsidP="007F36AB">
      <w:pPr>
        <w:pStyle w:val="ListBullet"/>
        <w:rPr>
          <w:lang w:val="en"/>
        </w:rPr>
      </w:pPr>
      <w:r w:rsidRPr="0097236C">
        <w:rPr>
          <w:lang w:val="en"/>
        </w:rPr>
        <w:t>all the administrative requirements a provider must undertake to determine a student to be academically suited to undertake a particular approved course</w:t>
      </w:r>
    </w:p>
    <w:p w14:paraId="6808CECC" w14:textId="77777777" w:rsidR="007F36AB" w:rsidRPr="0097236C" w:rsidRDefault="007F36AB" w:rsidP="007F36AB">
      <w:pPr>
        <w:pStyle w:val="ListBullet"/>
        <w:rPr>
          <w:lang w:val="en"/>
        </w:rPr>
      </w:pPr>
      <w:r w:rsidRPr="0097236C">
        <w:rPr>
          <w:lang w:val="en"/>
        </w:rPr>
        <w:t>fee information for students for approved courses</w:t>
      </w:r>
    </w:p>
    <w:p w14:paraId="34F259DA" w14:textId="77777777" w:rsidR="007F36AB" w:rsidRPr="0097236C" w:rsidRDefault="007F36AB" w:rsidP="007F36AB">
      <w:pPr>
        <w:pStyle w:val="ListBullet"/>
        <w:rPr>
          <w:lang w:val="en"/>
        </w:rPr>
      </w:pPr>
      <w:r w:rsidRPr="0097236C">
        <w:rPr>
          <w:lang w:val="en"/>
        </w:rPr>
        <w:t>census days</w:t>
      </w:r>
    </w:p>
    <w:p w14:paraId="506DCFB2" w14:textId="77777777" w:rsidR="007F36AB" w:rsidRDefault="007F36AB" w:rsidP="007F36AB">
      <w:pPr>
        <w:pStyle w:val="ListBullet"/>
        <w:rPr>
          <w:rFonts w:ascii="Calibri" w:eastAsia="Calibri" w:hAnsi="Calibri" w:cs="Calibri"/>
        </w:rPr>
      </w:pPr>
      <w:r w:rsidRPr="0097236C">
        <w:rPr>
          <w:lang w:val="en"/>
        </w:rPr>
        <w:t>how students must submit their eCAFs prior to the first census day for w</w:t>
      </w:r>
      <w:r w:rsidRPr="002E41EA">
        <w:rPr>
          <w:lang w:val="en"/>
        </w:rPr>
        <w:t>hich they wish to access a loan</w:t>
      </w:r>
      <w:r w:rsidRPr="0097236C">
        <w:rPr>
          <w:lang w:val="en"/>
        </w:rPr>
        <w:t xml:space="preserve"> and</w:t>
      </w:r>
      <w:r w:rsidRPr="00515459">
        <w:rPr>
          <w:rFonts w:ascii="Calibri" w:eastAsia="Calibri" w:hAnsi="Calibri" w:cs="Calibri"/>
        </w:rPr>
        <w:t xml:space="preserve"> </w:t>
      </w:r>
    </w:p>
    <w:p w14:paraId="1FC5AECA" w14:textId="77777777" w:rsidR="007F36AB" w:rsidRPr="00515459" w:rsidRDefault="007F36AB" w:rsidP="007F36AB">
      <w:pPr>
        <w:pStyle w:val="ListBullet"/>
        <w:rPr>
          <w:rFonts w:ascii="Calibri" w:eastAsia="Calibri" w:hAnsi="Calibri" w:cs="Calibri"/>
        </w:rPr>
      </w:pPr>
      <w:r w:rsidRPr="00515459">
        <w:rPr>
          <w:rFonts w:ascii="Calibri" w:eastAsia="Calibri" w:hAnsi="Calibri" w:cs="Calibri"/>
        </w:rPr>
        <w:t>student grievance processes</w:t>
      </w:r>
      <w:r>
        <w:rPr>
          <w:rFonts w:ascii="Calibri" w:eastAsia="Calibri" w:hAnsi="Calibri" w:cs="Calibri"/>
        </w:rPr>
        <w:t>.</w:t>
      </w:r>
    </w:p>
    <w:p w14:paraId="5F18DC7D" w14:textId="7392FC1A" w:rsidR="00983AE6" w:rsidRPr="00C73C05" w:rsidRDefault="00983AE6" w:rsidP="00983AE6">
      <w:pPr>
        <w:pStyle w:val="Heading3"/>
      </w:pPr>
      <w:bookmarkStart w:id="1296" w:name="_Student_entry"/>
      <w:bookmarkStart w:id="1297" w:name="_4.8.3__"/>
      <w:bookmarkStart w:id="1298" w:name="_Toc483222863"/>
      <w:bookmarkStart w:id="1299" w:name="_Toc501621216"/>
      <w:bookmarkStart w:id="1300" w:name="_Toc471374400"/>
      <w:bookmarkEnd w:id="1296"/>
      <w:bookmarkEnd w:id="1297"/>
      <w:r w:rsidRPr="00C73C05">
        <w:t>4.8.</w:t>
      </w:r>
      <w:r w:rsidR="00A73C43">
        <w:t>3</w:t>
      </w:r>
      <w:r w:rsidR="00C36EDC" w:rsidRPr="00C73C05">
        <w:t xml:space="preserve">   </w:t>
      </w:r>
      <w:r w:rsidRPr="00C73C05">
        <w:t>Process and procedures relating to student entry</w:t>
      </w:r>
      <w:bookmarkEnd w:id="1298"/>
      <w:bookmarkEnd w:id="1299"/>
      <w:r w:rsidRPr="00C73C05">
        <w:t xml:space="preserve"> </w:t>
      </w:r>
      <w:bookmarkEnd w:id="1300"/>
    </w:p>
    <w:p w14:paraId="57CF969A" w14:textId="77777777" w:rsidR="00983AE6" w:rsidRDefault="00983AE6" w:rsidP="00983AE6">
      <w:r w:rsidRPr="00736F23">
        <w:t>An approved</w:t>
      </w:r>
      <w:r>
        <w:t xml:space="preserve"> course</w:t>
      </w:r>
      <w:r w:rsidRPr="00736F23">
        <w:t xml:space="preserve"> provider’s student entry procedures must</w:t>
      </w:r>
      <w:r>
        <w:t>:</w:t>
      </w:r>
    </w:p>
    <w:p w14:paraId="51D18110" w14:textId="77777777" w:rsidR="00983AE6" w:rsidRPr="00736F23" w:rsidRDefault="00983AE6" w:rsidP="00983AE6">
      <w:pPr>
        <w:pStyle w:val="ListBullet"/>
        <w:rPr>
          <w:lang w:val="en"/>
        </w:rPr>
      </w:pPr>
      <w:r w:rsidRPr="00736F23">
        <w:rPr>
          <w:lang w:val="en"/>
        </w:rPr>
        <w:t xml:space="preserve">specify </w:t>
      </w:r>
      <w:r>
        <w:rPr>
          <w:lang w:val="en"/>
        </w:rPr>
        <w:t xml:space="preserve">the requirements </w:t>
      </w:r>
      <w:r w:rsidRPr="00736F23">
        <w:rPr>
          <w:lang w:val="en"/>
        </w:rPr>
        <w:t xml:space="preserve">a student </w:t>
      </w:r>
      <w:r>
        <w:rPr>
          <w:lang w:val="en"/>
        </w:rPr>
        <w:t xml:space="preserve">must meet to be determined to be </w:t>
      </w:r>
      <w:r w:rsidRPr="00736F23">
        <w:rPr>
          <w:lang w:val="en"/>
        </w:rPr>
        <w:t>academically suited to undertake a particular approved course</w:t>
      </w:r>
      <w:r>
        <w:rPr>
          <w:lang w:val="en"/>
        </w:rPr>
        <w:t xml:space="preserve"> </w:t>
      </w:r>
      <w:r w:rsidRPr="00C73C05">
        <w:rPr>
          <w:rStyle w:val="ReferenceChar"/>
        </w:rPr>
        <w:t>[Rules s 80]</w:t>
      </w:r>
      <w:r w:rsidRPr="00785C50">
        <w:t>.</w:t>
      </w:r>
    </w:p>
    <w:p w14:paraId="6D512AF6" w14:textId="77777777" w:rsidR="00983AE6" w:rsidRDefault="00983AE6" w:rsidP="00983AE6">
      <w:pPr>
        <w:pStyle w:val="ListBullet"/>
        <w:rPr>
          <w:lang w:val="en"/>
        </w:rPr>
      </w:pPr>
      <w:r w:rsidRPr="00D94C6A">
        <w:rPr>
          <w:lang w:val="en"/>
        </w:rPr>
        <w:t>specify that the results of assessing a student’s competence in reading and numeracy under the procedure must be reported to</w:t>
      </w:r>
      <w:r>
        <w:rPr>
          <w:lang w:val="en"/>
        </w:rPr>
        <w:t>:</w:t>
      </w:r>
    </w:p>
    <w:p w14:paraId="5DEA0BA3" w14:textId="77777777" w:rsidR="00983AE6" w:rsidRDefault="00983AE6" w:rsidP="00A0727A">
      <w:pPr>
        <w:pStyle w:val="ListBullet2"/>
        <w:numPr>
          <w:ilvl w:val="1"/>
          <w:numId w:val="34"/>
        </w:numPr>
        <w:rPr>
          <w:lang w:val="en"/>
        </w:rPr>
      </w:pPr>
      <w:r w:rsidRPr="00D94C6A">
        <w:rPr>
          <w:lang w:val="en"/>
        </w:rPr>
        <w:t xml:space="preserve">the student as soon as practicable after the assessment and </w:t>
      </w:r>
    </w:p>
    <w:p w14:paraId="76CD582F" w14:textId="77777777" w:rsidR="00983AE6" w:rsidRPr="00D94C6A" w:rsidRDefault="00983AE6" w:rsidP="00A0727A">
      <w:pPr>
        <w:pStyle w:val="ListBullet2"/>
        <w:numPr>
          <w:ilvl w:val="1"/>
          <w:numId w:val="34"/>
        </w:numPr>
        <w:rPr>
          <w:lang w:val="en"/>
        </w:rPr>
      </w:pPr>
      <w:r w:rsidRPr="00D94C6A">
        <w:rPr>
          <w:lang w:val="en"/>
        </w:rPr>
        <w:t xml:space="preserve">the Secretary in the form, manner and by the time requested by the Secretary </w:t>
      </w:r>
      <w:r w:rsidRPr="009D1DBC">
        <w:rPr>
          <w:rStyle w:val="ReferenceChar"/>
        </w:rPr>
        <w:t>[Rule s 81]</w:t>
      </w:r>
    </w:p>
    <w:p w14:paraId="3EBCF976" w14:textId="77777777" w:rsidR="00983AE6" w:rsidRPr="00D94C6A" w:rsidRDefault="00983AE6" w:rsidP="00A0727A">
      <w:pPr>
        <w:pStyle w:val="ListBullet"/>
        <w:numPr>
          <w:ilvl w:val="0"/>
          <w:numId w:val="34"/>
        </w:numPr>
        <w:rPr>
          <w:lang w:val="en"/>
        </w:rPr>
      </w:pPr>
      <w:r w:rsidRPr="00D94C6A">
        <w:rPr>
          <w:lang w:val="en"/>
        </w:rPr>
        <w:t xml:space="preserve">describe the process (including the tools) for validly and reliably assessing a student’s competence in reading and numeracy against the Australian Core Skills Framework </w:t>
      </w:r>
      <w:r w:rsidRPr="009D1DBC">
        <w:rPr>
          <w:rStyle w:val="ReferenceChar"/>
        </w:rPr>
        <w:t>[Rules s 82]</w:t>
      </w:r>
      <w:r w:rsidRPr="00785C50">
        <w:t>.</w:t>
      </w:r>
    </w:p>
    <w:p w14:paraId="72BAFD67" w14:textId="77777777" w:rsidR="00983AE6" w:rsidRPr="00147281" w:rsidRDefault="00983AE6" w:rsidP="003943E5">
      <w:pPr>
        <w:pStyle w:val="Heading5"/>
      </w:pPr>
      <w:bookmarkStart w:id="1301" w:name="_When_is_a"/>
      <w:bookmarkStart w:id="1302" w:name="_TOC_250065"/>
      <w:bookmarkStart w:id="1303" w:name="_Toc462038517"/>
      <w:bookmarkStart w:id="1304" w:name="_Toc471374401"/>
      <w:bookmarkStart w:id="1305" w:name="_Toc481505215"/>
      <w:bookmarkStart w:id="1306" w:name="_Toc483209535"/>
      <w:bookmarkStart w:id="1307" w:name="_Toc483222864"/>
      <w:bookmarkEnd w:id="1301"/>
      <w:r w:rsidRPr="00147281">
        <w:t>When is a student academically suited</w:t>
      </w:r>
      <w:bookmarkEnd w:id="1302"/>
      <w:r w:rsidRPr="00147281">
        <w:t>?</w:t>
      </w:r>
      <w:bookmarkEnd w:id="1303"/>
      <w:bookmarkEnd w:id="1304"/>
      <w:bookmarkEnd w:id="1305"/>
      <w:bookmarkEnd w:id="1306"/>
      <w:bookmarkEnd w:id="1307"/>
    </w:p>
    <w:p w14:paraId="0A985AF2" w14:textId="77777777" w:rsidR="00983AE6" w:rsidRPr="00736F23" w:rsidRDefault="00983AE6" w:rsidP="00983AE6">
      <w:r w:rsidRPr="00736F23">
        <w:t>The student entry procedure must specify that a student is academically suited to a course when:</w:t>
      </w:r>
    </w:p>
    <w:p w14:paraId="11E5B994" w14:textId="77777777" w:rsidR="00983AE6" w:rsidRPr="00736F23" w:rsidRDefault="00983AE6" w:rsidP="00983AE6">
      <w:pPr>
        <w:pStyle w:val="ListBullet"/>
        <w:rPr>
          <w:lang w:val="en"/>
        </w:rPr>
      </w:pPr>
      <w:r w:rsidRPr="00736F23">
        <w:rPr>
          <w:lang w:val="en"/>
        </w:rPr>
        <w:t xml:space="preserve">the provider reasonably believes the student is academically suited </w:t>
      </w:r>
      <w:r w:rsidR="00DD6488" w:rsidRPr="009D1DBC">
        <w:rPr>
          <w:rStyle w:val="ReferenceChar"/>
        </w:rPr>
        <w:t xml:space="preserve">[Rules </w:t>
      </w:r>
      <w:r w:rsidR="00DD6488">
        <w:rPr>
          <w:rStyle w:val="ReferenceChar"/>
        </w:rPr>
        <w:t>p</w:t>
      </w:r>
      <w:r w:rsidR="00CC53E1">
        <w:rPr>
          <w:rStyle w:val="ReferenceChar"/>
        </w:rPr>
        <w:t>aragraph</w:t>
      </w:r>
      <w:r w:rsidR="00DD6488" w:rsidRPr="009D1DBC">
        <w:rPr>
          <w:rStyle w:val="ReferenceChar"/>
        </w:rPr>
        <w:t xml:space="preserve"> 80(</w:t>
      </w:r>
      <w:r w:rsidR="00DD6488">
        <w:rPr>
          <w:rStyle w:val="ReferenceChar"/>
        </w:rPr>
        <w:t>1</w:t>
      </w:r>
      <w:r w:rsidR="00DD6488" w:rsidRPr="009D1DBC">
        <w:rPr>
          <w:rStyle w:val="ReferenceChar"/>
        </w:rPr>
        <w:t>)(</w:t>
      </w:r>
      <w:r w:rsidR="00DD6488">
        <w:rPr>
          <w:rStyle w:val="ReferenceChar"/>
        </w:rPr>
        <w:t>c</w:t>
      </w:r>
      <w:r w:rsidR="00DD6488" w:rsidRPr="009D1DBC">
        <w:rPr>
          <w:rStyle w:val="ReferenceChar"/>
        </w:rPr>
        <w:t>)]</w:t>
      </w:r>
      <w:r w:rsidR="00DD6488" w:rsidRPr="00736F23">
        <w:t xml:space="preserve"> </w:t>
      </w:r>
      <w:r w:rsidRPr="00736F23">
        <w:rPr>
          <w:lang w:val="en"/>
        </w:rPr>
        <w:t>and</w:t>
      </w:r>
    </w:p>
    <w:p w14:paraId="350D1711" w14:textId="77C9BD72" w:rsidR="00983AE6" w:rsidRPr="00736F23" w:rsidRDefault="00983AE6" w:rsidP="00983AE6">
      <w:pPr>
        <w:pStyle w:val="ListBullet"/>
        <w:rPr>
          <w:lang w:val="en"/>
        </w:rPr>
      </w:pPr>
      <w:r w:rsidRPr="00736F23">
        <w:rPr>
          <w:lang w:val="en"/>
        </w:rPr>
        <w:t xml:space="preserve">the student satisfies any entry requirements for the course set out in the </w:t>
      </w:r>
      <w:r>
        <w:rPr>
          <w:lang w:val="en"/>
        </w:rPr>
        <w:t xml:space="preserve">provider’s </w:t>
      </w:r>
      <w:r w:rsidRPr="00736F23">
        <w:rPr>
          <w:lang w:val="en"/>
        </w:rPr>
        <w:t>procedure</w:t>
      </w:r>
      <w:r w:rsidR="00A73C43">
        <w:rPr>
          <w:lang w:val="en"/>
        </w:rPr>
        <w:t xml:space="preserve"> </w:t>
      </w:r>
      <w:r w:rsidR="00DD6488" w:rsidRPr="009D1DBC">
        <w:rPr>
          <w:rStyle w:val="ReferenceChar"/>
        </w:rPr>
        <w:t xml:space="preserve">[Rules </w:t>
      </w:r>
      <w:r w:rsidR="00DD6488">
        <w:rPr>
          <w:rStyle w:val="ReferenceChar"/>
        </w:rPr>
        <w:t>p</w:t>
      </w:r>
      <w:r w:rsidR="00CC53E1">
        <w:rPr>
          <w:rStyle w:val="ReferenceChar"/>
        </w:rPr>
        <w:t>aragraph</w:t>
      </w:r>
      <w:r w:rsidR="00DD6488" w:rsidRPr="009D1DBC">
        <w:rPr>
          <w:rStyle w:val="ReferenceChar"/>
        </w:rPr>
        <w:t xml:space="preserve"> 80(</w:t>
      </w:r>
      <w:r w:rsidR="00DD6488">
        <w:rPr>
          <w:rStyle w:val="ReferenceChar"/>
        </w:rPr>
        <w:t>1</w:t>
      </w:r>
      <w:r w:rsidR="00DD6488" w:rsidRPr="009D1DBC">
        <w:rPr>
          <w:rStyle w:val="ReferenceChar"/>
        </w:rPr>
        <w:t>)(</w:t>
      </w:r>
      <w:r w:rsidR="00DD6488">
        <w:rPr>
          <w:rStyle w:val="ReferenceChar"/>
        </w:rPr>
        <w:t>b</w:t>
      </w:r>
      <w:r w:rsidR="00DD6488" w:rsidRPr="009D1DBC">
        <w:rPr>
          <w:rStyle w:val="ReferenceChar"/>
        </w:rPr>
        <w:t>)]</w:t>
      </w:r>
      <w:r w:rsidRPr="00736F23">
        <w:rPr>
          <w:lang w:val="en"/>
        </w:rPr>
        <w:t xml:space="preserve"> and</w:t>
      </w:r>
    </w:p>
    <w:p w14:paraId="523AB8C6" w14:textId="77777777" w:rsidR="00983AE6" w:rsidRPr="00736F23" w:rsidRDefault="00983AE6" w:rsidP="00983AE6">
      <w:pPr>
        <w:pStyle w:val="ListBullet"/>
        <w:rPr>
          <w:lang w:val="en"/>
        </w:rPr>
      </w:pPr>
      <w:r w:rsidRPr="00736F23">
        <w:rPr>
          <w:lang w:val="en"/>
        </w:rPr>
        <w:t>the student satisfies one of the following requirements:</w:t>
      </w:r>
    </w:p>
    <w:p w14:paraId="31CF565A" w14:textId="68DE765E" w:rsidR="00983AE6" w:rsidRPr="00736F23" w:rsidRDefault="00983AE6" w:rsidP="00A0727A">
      <w:pPr>
        <w:pStyle w:val="ListBullet2"/>
        <w:numPr>
          <w:ilvl w:val="1"/>
          <w:numId w:val="35"/>
        </w:numPr>
      </w:pPr>
      <w:r w:rsidRPr="00736F23">
        <w:t xml:space="preserve">the provider obtains a copy of a Senior Secondary Certificate of Education that has been awarded to the student by an agency or authority of a State or Territory for the student’s completion of year 12 </w:t>
      </w:r>
      <w:r w:rsidRPr="009D1DBC">
        <w:rPr>
          <w:rStyle w:val="ReferenceChar"/>
        </w:rPr>
        <w:t xml:space="preserve">[Rules </w:t>
      </w:r>
      <w:r w:rsidR="00DD6488">
        <w:rPr>
          <w:rStyle w:val="ReferenceChar"/>
        </w:rPr>
        <w:t>p</w:t>
      </w:r>
      <w:r w:rsidR="00CC53E1">
        <w:rPr>
          <w:rStyle w:val="ReferenceChar"/>
        </w:rPr>
        <w:t>aragraph</w:t>
      </w:r>
      <w:r w:rsidR="00DD6488" w:rsidRPr="009D1DBC">
        <w:rPr>
          <w:rStyle w:val="ReferenceChar"/>
        </w:rPr>
        <w:t xml:space="preserve"> </w:t>
      </w:r>
      <w:r w:rsidRPr="009D1DBC">
        <w:rPr>
          <w:rStyle w:val="ReferenceChar"/>
        </w:rPr>
        <w:t>80(2)(a)]</w:t>
      </w:r>
      <w:r w:rsidRPr="00736F23">
        <w:t xml:space="preserve"> or </w:t>
      </w:r>
    </w:p>
    <w:p w14:paraId="7A308D0A" w14:textId="396FD6FB" w:rsidR="00983AE6" w:rsidRPr="00736F23" w:rsidRDefault="00983AE6" w:rsidP="00A0727A">
      <w:pPr>
        <w:pStyle w:val="ListBullet2"/>
        <w:numPr>
          <w:ilvl w:val="1"/>
          <w:numId w:val="35"/>
        </w:numPr>
      </w:pPr>
      <w:r w:rsidRPr="00736F23">
        <w:t xml:space="preserve">the student is assessed </w:t>
      </w:r>
      <w:r>
        <w:t xml:space="preserve">using an approved assessment tool, </w:t>
      </w:r>
      <w:r w:rsidRPr="00736F23">
        <w:t xml:space="preserve">as displaying competence at or above Exit Level 3 in the Australian Core Skills Framework (ACSF) in both reading and numeracy and the provider reasonably believes that the student displays that competence </w:t>
      </w:r>
      <w:r w:rsidRPr="009D1DBC">
        <w:rPr>
          <w:rStyle w:val="ReferenceChar"/>
        </w:rPr>
        <w:t xml:space="preserve">[Rules </w:t>
      </w:r>
      <w:r w:rsidR="00DD6488">
        <w:rPr>
          <w:rStyle w:val="ReferenceChar"/>
        </w:rPr>
        <w:t>p</w:t>
      </w:r>
      <w:r w:rsidR="00CC53E1">
        <w:rPr>
          <w:rStyle w:val="ReferenceChar"/>
        </w:rPr>
        <w:t>aragraph</w:t>
      </w:r>
      <w:r w:rsidR="00DD6488" w:rsidRPr="009D1DBC">
        <w:rPr>
          <w:rStyle w:val="ReferenceChar"/>
        </w:rPr>
        <w:t xml:space="preserve"> </w:t>
      </w:r>
      <w:r w:rsidRPr="009D1DBC">
        <w:rPr>
          <w:rStyle w:val="ReferenceChar"/>
        </w:rPr>
        <w:t>80(2)(b)]</w:t>
      </w:r>
      <w:r w:rsidRPr="00784226">
        <w:rPr>
          <w:color w:val="3333FF"/>
          <w:sz w:val="16"/>
        </w:rPr>
        <w:t xml:space="preserve"> </w:t>
      </w:r>
      <w:r w:rsidRPr="00736F23">
        <w:t>or</w:t>
      </w:r>
    </w:p>
    <w:p w14:paraId="339FAA60" w14:textId="4B75B466" w:rsidR="00983AE6" w:rsidRDefault="00983AE6" w:rsidP="00A0727A">
      <w:pPr>
        <w:pStyle w:val="ListBullet2"/>
        <w:numPr>
          <w:ilvl w:val="1"/>
          <w:numId w:val="35"/>
        </w:numPr>
      </w:pPr>
      <w:r w:rsidRPr="00736F23">
        <w:t>the provider obtains a copy of a certificate that a qualification at level 4 or above in the Australian Qualifications Framework</w:t>
      </w:r>
      <w:r w:rsidR="001A234B">
        <w:t>(AQF)</w:t>
      </w:r>
      <w:r w:rsidRPr="00736F23">
        <w:t xml:space="preserve"> has been awarded to the student by a body registered to award the qualification in the </w:t>
      </w:r>
      <w:r>
        <w:t xml:space="preserve">AQF </w:t>
      </w:r>
      <w:r w:rsidRPr="00736F23">
        <w:t xml:space="preserve">in Australia and the course was delivered in English </w:t>
      </w:r>
      <w:r>
        <w:rPr>
          <w:rStyle w:val="ReferenceChar"/>
        </w:rPr>
        <w:t>[Rules </w:t>
      </w:r>
      <w:r w:rsidR="00DD6488">
        <w:rPr>
          <w:rStyle w:val="ReferenceChar"/>
        </w:rPr>
        <w:t>p</w:t>
      </w:r>
      <w:r w:rsidR="00CC53E1">
        <w:rPr>
          <w:rStyle w:val="ReferenceChar"/>
        </w:rPr>
        <w:t>aragraph</w:t>
      </w:r>
      <w:r w:rsidR="00DD6488">
        <w:rPr>
          <w:rStyle w:val="ReferenceChar"/>
        </w:rPr>
        <w:t> </w:t>
      </w:r>
      <w:r w:rsidRPr="009D1DBC">
        <w:rPr>
          <w:rStyle w:val="ReferenceChar"/>
        </w:rPr>
        <w:t>80(2)(c)]</w:t>
      </w:r>
      <w:r w:rsidRPr="00736F23">
        <w:t>.</w:t>
      </w:r>
    </w:p>
    <w:p w14:paraId="0F57F487" w14:textId="77777777" w:rsidR="00727ADB" w:rsidRDefault="00727ADB" w:rsidP="003943E5">
      <w:pPr>
        <w:pStyle w:val="Heading5"/>
        <w:rPr>
          <w:rFonts w:eastAsia="Times New Roman"/>
        </w:rPr>
      </w:pPr>
      <w:bookmarkStart w:id="1308" w:name="_Important_clarification_regarding"/>
      <w:bookmarkEnd w:id="1308"/>
      <w:r>
        <w:rPr>
          <w:rFonts w:eastAsia="Times New Roman"/>
        </w:rPr>
        <w:t>Important clarification regarding qualifications issued prior to 1995</w:t>
      </w:r>
    </w:p>
    <w:p w14:paraId="3C4C95BE" w14:textId="77777777" w:rsidR="00727ADB" w:rsidRDefault="00727ADB" w:rsidP="00727ADB">
      <w:pPr>
        <w:rPr>
          <w:rFonts w:eastAsiaTheme="minorHAnsi"/>
        </w:rPr>
      </w:pPr>
      <w:r>
        <w:t>For the purposes of paragraph 80(2)(c) of the Rules, the reference to the Australian Qualifications Framework (</w:t>
      </w:r>
      <w:r>
        <w:rPr>
          <w:b/>
          <w:bCs/>
        </w:rPr>
        <w:t>AQF</w:t>
      </w:r>
      <w:r>
        <w:t>) is taken to include the predecessor frameworks to the AQF:</w:t>
      </w:r>
    </w:p>
    <w:p w14:paraId="6119646D" w14:textId="77777777" w:rsidR="00727ADB" w:rsidRDefault="00727ADB" w:rsidP="00A0727A">
      <w:pPr>
        <w:pStyle w:val="ListBullet"/>
        <w:numPr>
          <w:ilvl w:val="0"/>
          <w:numId w:val="61"/>
        </w:numPr>
        <w:rPr>
          <w:i/>
          <w:iCs/>
        </w:rPr>
      </w:pPr>
      <w:r>
        <w:lastRenderedPageBreak/>
        <w:t>Australian Council on Awards in Advanced Education (</w:t>
      </w:r>
      <w:r>
        <w:rPr>
          <w:b/>
          <w:bCs/>
        </w:rPr>
        <w:t>ACAAE</w:t>
      </w:r>
      <w:r>
        <w:t xml:space="preserve">) [1971 – 1984]: </w:t>
      </w:r>
      <w:r>
        <w:rPr>
          <w:i/>
          <w:iCs/>
        </w:rPr>
        <w:t>Nomenclature and Guidelines for Awards in Advanced Education</w:t>
      </w:r>
      <w:r>
        <w:t xml:space="preserve"> (1972) and </w:t>
      </w:r>
      <w:r>
        <w:rPr>
          <w:i/>
          <w:iCs/>
        </w:rPr>
        <w:t>Guidelines for the National Registration of Awards in Advanced Education</w:t>
      </w:r>
    </w:p>
    <w:p w14:paraId="262E919A" w14:textId="77777777" w:rsidR="00727ADB" w:rsidRDefault="00727ADB" w:rsidP="00A0727A">
      <w:pPr>
        <w:pStyle w:val="ListBullet"/>
        <w:numPr>
          <w:ilvl w:val="0"/>
          <w:numId w:val="61"/>
        </w:numPr>
      </w:pPr>
      <w:r>
        <w:t>The Australian Council on Tertiary Awards (</w:t>
      </w:r>
      <w:r>
        <w:rPr>
          <w:b/>
          <w:bCs/>
        </w:rPr>
        <w:t>ACTA</w:t>
      </w:r>
      <w:r>
        <w:t xml:space="preserve">) [1985 – 1989]:  </w:t>
      </w:r>
      <w:r>
        <w:rPr>
          <w:i/>
          <w:iCs/>
        </w:rPr>
        <w:t>Guidelines for the National Registration of Awards</w:t>
      </w:r>
      <w:r>
        <w:t xml:space="preserve"> </w:t>
      </w:r>
    </w:p>
    <w:p w14:paraId="639478EA" w14:textId="77777777" w:rsidR="00727ADB" w:rsidRDefault="00727ADB" w:rsidP="00A0727A">
      <w:pPr>
        <w:pStyle w:val="ListBullet"/>
        <w:numPr>
          <w:ilvl w:val="0"/>
          <w:numId w:val="61"/>
        </w:numPr>
      </w:pPr>
      <w:r>
        <w:t xml:space="preserve">Australian Education Council </w:t>
      </w:r>
      <w:r>
        <w:rPr>
          <w:i/>
          <w:iCs/>
        </w:rPr>
        <w:t>Register of Australian Tertiary Education (RATE)</w:t>
      </w:r>
      <w:r>
        <w:t xml:space="preserve"> [1990 – 1999]</w:t>
      </w:r>
    </w:p>
    <w:p w14:paraId="51EF9D25" w14:textId="77777777" w:rsidR="00727ADB" w:rsidRDefault="00727ADB" w:rsidP="00727ADB">
      <w:pPr>
        <w:spacing w:after="120"/>
        <w:rPr>
          <w:color w:val="1F497D"/>
        </w:rPr>
      </w:pPr>
      <w:r>
        <w:t xml:space="preserve">These documents are available on the AQF website at: </w:t>
      </w:r>
      <w:hyperlink r:id="rId80" w:history="1">
        <w:r>
          <w:rPr>
            <w:rStyle w:val="Hyperlink"/>
          </w:rPr>
          <w:t>www.aqf.edu.au/previous-versions-of-the-aqf</w:t>
        </w:r>
      </w:hyperlink>
      <w:r>
        <w:t>.</w:t>
      </w:r>
      <w:r>
        <w:rPr>
          <w:color w:val="1F497D"/>
        </w:rPr>
        <w:t xml:space="preserve"> </w:t>
      </w:r>
    </w:p>
    <w:p w14:paraId="706C831C" w14:textId="7D9681DF" w:rsidR="00727ADB" w:rsidRDefault="00727ADB" w:rsidP="00E40940">
      <w:pPr>
        <w:spacing w:after="120"/>
      </w:pPr>
      <w:r>
        <w:t>Further, the reference to ‘a qualification at level 4 or above’ is taken to be equivalent to an ‘Advanced Certificate’ or above, as described by the predecessor bodies ACTA and RATE, issued from 1985 onwards. It is taken to be equivalent to an ‘Associate Diploma’ or above, as issued by the predecessor body ACAAE from 1971 – 1984.</w:t>
      </w:r>
    </w:p>
    <w:p w14:paraId="0DEEADE1" w14:textId="36773547" w:rsidR="00727ADB" w:rsidRDefault="00727ADB" w:rsidP="00727ADB">
      <w:pPr>
        <w:rPr>
          <w:color w:val="1F497D"/>
        </w:rPr>
      </w:pPr>
      <w:r>
        <w:rPr>
          <w:b/>
          <w:bCs/>
        </w:rPr>
        <w:t>PLEASE NOTE: Where a provider relies on</w:t>
      </w:r>
      <w:r w:rsidR="0056749B">
        <w:rPr>
          <w:b/>
          <w:bCs/>
        </w:rPr>
        <w:t xml:space="preserve"> a qualification issued under the</w:t>
      </w:r>
      <w:r>
        <w:rPr>
          <w:b/>
          <w:bCs/>
          <w:color w:val="1F497D"/>
        </w:rPr>
        <w:t xml:space="preserve"> </w:t>
      </w:r>
      <w:r>
        <w:rPr>
          <w:b/>
          <w:bCs/>
        </w:rPr>
        <w:t xml:space="preserve">AQF or a predecessor framework to the AQF to ascertain a student’s academic suitability to undertake a course, the provider must still satisfy the general requirement that </w:t>
      </w:r>
      <w:r>
        <w:rPr>
          <w:b/>
          <w:bCs/>
          <w:lang w:val="en"/>
        </w:rPr>
        <w:t xml:space="preserve">the provider must also reasonably believe that the student is academically suited to undertake the course </w:t>
      </w:r>
      <w:r>
        <w:rPr>
          <w:rStyle w:val="ReferenceChar"/>
          <w:szCs w:val="16"/>
        </w:rPr>
        <w:t>[Rules paragraph (80)(1)(c)]</w:t>
      </w:r>
      <w:r>
        <w:rPr>
          <w:b/>
          <w:bCs/>
          <w:lang w:val="en"/>
        </w:rPr>
        <w:t>.</w:t>
      </w:r>
    </w:p>
    <w:p w14:paraId="18914903" w14:textId="77777777" w:rsidR="00983AE6" w:rsidRPr="00147281" w:rsidRDefault="00983AE6" w:rsidP="003943E5">
      <w:pPr>
        <w:pStyle w:val="Heading5"/>
      </w:pPr>
      <w:bookmarkStart w:id="1309" w:name="_Toc462038518"/>
      <w:bookmarkStart w:id="1310" w:name="_Toc471374402"/>
      <w:bookmarkStart w:id="1311" w:name="_Toc481505216"/>
      <w:bookmarkStart w:id="1312" w:name="_Toc483209536"/>
      <w:bookmarkStart w:id="1313" w:name="_Toc483222865"/>
      <w:r w:rsidRPr="00147281">
        <w:t>Senior Secondary Certificate requirements</w:t>
      </w:r>
      <w:bookmarkEnd w:id="1309"/>
      <w:bookmarkEnd w:id="1310"/>
      <w:bookmarkEnd w:id="1311"/>
      <w:bookmarkEnd w:id="1312"/>
      <w:bookmarkEnd w:id="1313"/>
    </w:p>
    <w:p w14:paraId="18AABB61" w14:textId="77777777" w:rsidR="00983AE6" w:rsidRPr="00736F23" w:rsidRDefault="00983AE6" w:rsidP="00983AE6">
      <w:r w:rsidRPr="00736F23">
        <w:t xml:space="preserve">An approved </w:t>
      </w:r>
      <w:r>
        <w:t xml:space="preserve">course </w:t>
      </w:r>
      <w:r w:rsidRPr="00736F23">
        <w:t xml:space="preserve">provider can only accept a copy of a year 12 certificate from an Australian State or Territory. </w:t>
      </w:r>
      <w:r>
        <w:t>Alternatives</w:t>
      </w:r>
      <w:r w:rsidRPr="00736F23">
        <w:t xml:space="preserve"> that will </w:t>
      </w:r>
      <w:r w:rsidRPr="009D1DBC">
        <w:rPr>
          <w:rStyle w:val="Strong"/>
        </w:rPr>
        <w:t>NOT</w:t>
      </w:r>
      <w:r w:rsidRPr="00736F23">
        <w:t xml:space="preserve"> be accepted include</w:t>
      </w:r>
    </w:p>
    <w:p w14:paraId="68E3300F" w14:textId="77777777" w:rsidR="00983AE6" w:rsidRPr="00DF13C3" w:rsidRDefault="00983AE6" w:rsidP="00983AE6">
      <w:pPr>
        <w:pStyle w:val="ListBullet"/>
        <w:rPr>
          <w:lang w:val="en"/>
        </w:rPr>
      </w:pPr>
      <w:r w:rsidRPr="00B356CA">
        <w:rPr>
          <w:lang w:val="en"/>
        </w:rPr>
        <w:t xml:space="preserve">a </w:t>
      </w:r>
      <w:r w:rsidRPr="00DF13C3">
        <w:rPr>
          <w:lang w:val="en"/>
        </w:rPr>
        <w:t>letter from the student’s school confirming they completed year 12</w:t>
      </w:r>
    </w:p>
    <w:p w14:paraId="6EB795A6" w14:textId="77777777" w:rsidR="00983AE6" w:rsidRPr="00DF13C3" w:rsidRDefault="00983AE6" w:rsidP="00983AE6">
      <w:pPr>
        <w:pStyle w:val="ListBullet"/>
        <w:rPr>
          <w:lang w:val="en"/>
        </w:rPr>
      </w:pPr>
      <w:r w:rsidRPr="00DF13C3">
        <w:rPr>
          <w:lang w:val="en"/>
        </w:rPr>
        <w:t>a lower level VET qualification</w:t>
      </w:r>
    </w:p>
    <w:p w14:paraId="13F4F838" w14:textId="77777777" w:rsidR="00983AE6" w:rsidRPr="00DF13C3" w:rsidRDefault="00983AE6" w:rsidP="00983AE6">
      <w:pPr>
        <w:pStyle w:val="ListBullet"/>
        <w:rPr>
          <w:lang w:val="en"/>
        </w:rPr>
      </w:pPr>
      <w:r w:rsidRPr="00DF13C3">
        <w:rPr>
          <w:lang w:val="en"/>
        </w:rPr>
        <w:t>Tertiary Preparation Certificate and</w:t>
      </w:r>
    </w:p>
    <w:p w14:paraId="37E33A03" w14:textId="77777777" w:rsidR="00983AE6" w:rsidRPr="00736F23" w:rsidRDefault="00983AE6" w:rsidP="00983AE6">
      <w:pPr>
        <w:pStyle w:val="ListBullet"/>
        <w:rPr>
          <w:sz w:val="20"/>
        </w:rPr>
      </w:pPr>
      <w:r w:rsidRPr="00DF13C3">
        <w:rPr>
          <w:lang w:val="en"/>
        </w:rPr>
        <w:t>any program with reading and numeracy components that allow students to achieve</w:t>
      </w:r>
      <w:r w:rsidRPr="00736F23">
        <w:t xml:space="preserve"> </w:t>
      </w:r>
      <w:r w:rsidRPr="000839E2">
        <w:t>Exit Level 3.</w:t>
      </w:r>
      <w:r w:rsidRPr="00736F23">
        <w:rPr>
          <w:sz w:val="20"/>
        </w:rPr>
        <w:t xml:space="preserve"> </w:t>
      </w:r>
    </w:p>
    <w:p w14:paraId="23354B60" w14:textId="77777777" w:rsidR="00983AE6" w:rsidRPr="00147281" w:rsidRDefault="00983AE6" w:rsidP="003943E5">
      <w:pPr>
        <w:pStyle w:val="Heading5"/>
      </w:pPr>
      <w:bookmarkStart w:id="1314" w:name="_Toc458674400"/>
      <w:bookmarkStart w:id="1315" w:name="_Toc459187331"/>
      <w:bookmarkStart w:id="1316" w:name="_Toc459210156"/>
      <w:bookmarkStart w:id="1317" w:name="_Toc459639480"/>
      <w:bookmarkStart w:id="1318" w:name="_Toc459795815"/>
      <w:bookmarkStart w:id="1319" w:name="_Toc459977735"/>
      <w:bookmarkStart w:id="1320" w:name="_Toc483209537"/>
      <w:bookmarkStart w:id="1321" w:name="_Toc483222866"/>
      <w:bookmarkStart w:id="1322" w:name="_Toc471374403"/>
      <w:bookmarkStart w:id="1323" w:name="_Toc481505217"/>
      <w:bookmarkStart w:id="1324" w:name="_Toc462038519"/>
      <w:bookmarkEnd w:id="1314"/>
      <w:bookmarkEnd w:id="1315"/>
      <w:bookmarkEnd w:id="1316"/>
      <w:bookmarkEnd w:id="1317"/>
      <w:bookmarkEnd w:id="1318"/>
      <w:bookmarkEnd w:id="1319"/>
      <w:r w:rsidRPr="00147281">
        <w:t>Where a student cannot provide a copy of a certificate</w:t>
      </w:r>
      <w:bookmarkEnd w:id="1320"/>
      <w:bookmarkEnd w:id="1321"/>
    </w:p>
    <w:p w14:paraId="4E9963E3" w14:textId="77777777" w:rsidR="00983AE6" w:rsidRPr="00663063" w:rsidRDefault="00983AE6" w:rsidP="00983AE6">
      <w:r w:rsidRPr="00663063">
        <w:t xml:space="preserve">If a student cannot provide a copy of a qualification certificate for their Australian Qualifications Framework level 4 or above qualification, a provider may accept from the student a copy of their authenticated transcript from the Student Identifiers Register, as specified under the </w:t>
      </w:r>
      <w:r w:rsidRPr="00663063">
        <w:rPr>
          <w:i/>
          <w:iCs/>
        </w:rPr>
        <w:t xml:space="preserve">Student Identifiers Regulation 2014 </w:t>
      </w:r>
      <w:r w:rsidRPr="0056749B">
        <w:rPr>
          <w:iCs/>
        </w:rPr>
        <w:t>(</w:t>
      </w:r>
      <w:r w:rsidRPr="00663063">
        <w:t>section 5</w:t>
      </w:r>
      <w:r w:rsidRPr="0056749B">
        <w:rPr>
          <w:iCs/>
        </w:rPr>
        <w:t>)</w:t>
      </w:r>
      <w:r w:rsidRPr="00663063">
        <w:rPr>
          <w:i/>
          <w:iCs/>
        </w:rPr>
        <w:t>,</w:t>
      </w:r>
      <w:r w:rsidRPr="00663063">
        <w:t xml:space="preserve"> as proof, provided it evidenced completion of the relevant qualification.</w:t>
      </w:r>
    </w:p>
    <w:p w14:paraId="6D99D647" w14:textId="23499153" w:rsidR="00983AE6" w:rsidRPr="00663063" w:rsidRDefault="00983AE6" w:rsidP="00983AE6">
      <w:pPr>
        <w:rPr>
          <w:i/>
          <w:iCs/>
        </w:rPr>
      </w:pPr>
      <w:r w:rsidRPr="00663063">
        <w:t xml:space="preserve">The </w:t>
      </w:r>
      <w:r w:rsidRPr="00663063">
        <w:rPr>
          <w:i/>
          <w:iCs/>
        </w:rPr>
        <w:t>Student Identifiers Regulation 2014 (</w:t>
      </w:r>
      <w:r w:rsidRPr="00663063">
        <w:t>section 5</w:t>
      </w:r>
      <w:r w:rsidRPr="00663063">
        <w:rPr>
          <w:i/>
          <w:iCs/>
        </w:rPr>
        <w:t xml:space="preserve">) </w:t>
      </w:r>
      <w:r w:rsidRPr="00663063">
        <w:t>specifies what a USI transcript must include. The USI transcript will only ever reflect study undertaken since 1 January 2015 that has been reported by a training provider through the AVETMISS process. In some circumstances, study may have been successfully completed by a student but not show on the individual’s USI transcript. Examples of this situation include</w:t>
      </w:r>
      <w:r w:rsidR="0056749B">
        <w:t xml:space="preserve"> where the</w:t>
      </w:r>
      <w:r w:rsidRPr="00663063">
        <w:t>:</w:t>
      </w:r>
    </w:p>
    <w:p w14:paraId="41BE4154" w14:textId="77777777" w:rsidR="00983AE6" w:rsidRPr="00B356CA" w:rsidRDefault="00983AE6" w:rsidP="00983AE6">
      <w:pPr>
        <w:pStyle w:val="ListBullet"/>
        <w:rPr>
          <w:lang w:val="en"/>
        </w:rPr>
      </w:pPr>
      <w:r w:rsidRPr="00B356CA">
        <w:rPr>
          <w:lang w:val="en"/>
        </w:rPr>
        <w:t>training provider has not yet reported training through the AVETMISS reporting cycle (private providers only report annually, whereas TAFEs report quarterly)</w:t>
      </w:r>
    </w:p>
    <w:p w14:paraId="3ADCFDC5" w14:textId="77777777" w:rsidR="00983AE6" w:rsidRPr="00B356CA" w:rsidRDefault="00983AE6" w:rsidP="00983AE6">
      <w:pPr>
        <w:pStyle w:val="ListBullet"/>
        <w:rPr>
          <w:lang w:val="en"/>
        </w:rPr>
      </w:pPr>
      <w:r w:rsidRPr="00B356CA">
        <w:rPr>
          <w:lang w:val="en"/>
        </w:rPr>
        <w:t>individual has requested and received a personal exemption from the Student Identifiers Registrar from obtaining a USI</w:t>
      </w:r>
    </w:p>
    <w:p w14:paraId="4B0048A1" w14:textId="77777777" w:rsidR="00983AE6" w:rsidRPr="00B356CA" w:rsidRDefault="00983AE6" w:rsidP="00983AE6">
      <w:pPr>
        <w:pStyle w:val="ListBullet"/>
        <w:rPr>
          <w:lang w:val="en"/>
        </w:rPr>
      </w:pPr>
      <w:r w:rsidRPr="00B356CA">
        <w:rPr>
          <w:lang w:val="en"/>
        </w:rPr>
        <w:t>training provider has obtained an exemption from the Regulator from reporting the training to NCVER</w:t>
      </w:r>
    </w:p>
    <w:p w14:paraId="64EF2F10" w14:textId="77777777" w:rsidR="00983AE6" w:rsidRPr="00B356CA" w:rsidRDefault="00983AE6" w:rsidP="00983AE6">
      <w:pPr>
        <w:pStyle w:val="ListBullet"/>
        <w:rPr>
          <w:lang w:val="en"/>
        </w:rPr>
      </w:pPr>
      <w:r w:rsidRPr="00B356CA">
        <w:rPr>
          <w:lang w:val="en"/>
        </w:rPr>
        <w:t>training provider has closed and has not reported training outcomes</w:t>
      </w:r>
    </w:p>
    <w:p w14:paraId="46ED6C34" w14:textId="77777777" w:rsidR="00983AE6" w:rsidRPr="00663063" w:rsidRDefault="00983AE6" w:rsidP="00983AE6">
      <w:pPr>
        <w:pStyle w:val="ListBullet"/>
      </w:pPr>
      <w:r w:rsidRPr="00B356CA">
        <w:rPr>
          <w:lang w:val="en"/>
        </w:rPr>
        <w:t xml:space="preserve">training </w:t>
      </w:r>
      <w:r>
        <w:t>p</w:t>
      </w:r>
      <w:r w:rsidRPr="00663063">
        <w:t>rovider did not include USI when reporting training outcomes to NCVER</w:t>
      </w:r>
      <w:r>
        <w:t>.</w:t>
      </w:r>
      <w:r w:rsidRPr="00663063">
        <w:t xml:space="preserve"> </w:t>
      </w:r>
    </w:p>
    <w:p w14:paraId="1D5CD63E" w14:textId="77777777" w:rsidR="00983AE6" w:rsidRPr="00147281" w:rsidRDefault="00983AE6" w:rsidP="005F076C">
      <w:pPr>
        <w:pStyle w:val="Heading5"/>
        <w:keepNext/>
        <w:keepLines/>
      </w:pPr>
      <w:bookmarkStart w:id="1325" w:name="_Toc483209538"/>
      <w:bookmarkStart w:id="1326" w:name="_Toc483222867"/>
      <w:r w:rsidRPr="00147281">
        <w:lastRenderedPageBreak/>
        <w:t>Assessing competency in reading and numeracy</w:t>
      </w:r>
      <w:bookmarkEnd w:id="1322"/>
      <w:bookmarkEnd w:id="1323"/>
      <w:bookmarkEnd w:id="1325"/>
      <w:bookmarkEnd w:id="1326"/>
    </w:p>
    <w:p w14:paraId="0D93C9B7" w14:textId="77777777" w:rsidR="00983AE6" w:rsidRPr="00736F23" w:rsidRDefault="00983AE6" w:rsidP="005F076C">
      <w:pPr>
        <w:keepNext/>
        <w:keepLines/>
      </w:pPr>
      <w:r w:rsidRPr="00736F23">
        <w:t xml:space="preserve">An approved </w:t>
      </w:r>
      <w:r>
        <w:t xml:space="preserve">course </w:t>
      </w:r>
      <w:r w:rsidRPr="00736F23">
        <w:t>provider’s student</w:t>
      </w:r>
      <w:r w:rsidRPr="00736F23">
        <w:rPr>
          <w:spacing w:val="1"/>
        </w:rPr>
        <w:t xml:space="preserve"> </w:t>
      </w:r>
      <w:r w:rsidRPr="00736F23">
        <w:t>entry</w:t>
      </w:r>
      <w:r w:rsidRPr="00736F23">
        <w:rPr>
          <w:spacing w:val="49"/>
        </w:rPr>
        <w:t xml:space="preserve"> </w:t>
      </w:r>
      <w:r w:rsidRPr="00736F23">
        <w:t>procedure must:</w:t>
      </w:r>
    </w:p>
    <w:p w14:paraId="79AE2601" w14:textId="77777777" w:rsidR="00983AE6" w:rsidRPr="00736F23" w:rsidRDefault="00983AE6" w:rsidP="00983AE6">
      <w:pPr>
        <w:pStyle w:val="ListBullet"/>
      </w:pPr>
      <w:r w:rsidRPr="00736F23">
        <w:t xml:space="preserve">describe the process (including the tools) for validly and reliably assessing a student’s competence in reading and numeracy against the </w:t>
      </w:r>
      <w:r w:rsidR="00F9457D" w:rsidRPr="00736F23">
        <w:t>AC</w:t>
      </w:r>
      <w:r w:rsidR="00F9457D">
        <w:t>SF</w:t>
      </w:r>
    </w:p>
    <w:p w14:paraId="28F4DADE" w14:textId="77777777" w:rsidR="00983AE6" w:rsidRPr="00736F23" w:rsidRDefault="00983AE6" w:rsidP="00983AE6">
      <w:pPr>
        <w:pStyle w:val="ListBullet"/>
      </w:pPr>
      <w:r w:rsidRPr="00736F23">
        <w:t>specify as</w:t>
      </w:r>
      <w:r w:rsidRPr="00736F23">
        <w:rPr>
          <w:spacing w:val="2"/>
        </w:rPr>
        <w:t xml:space="preserve"> </w:t>
      </w:r>
      <w:r w:rsidRPr="00736F23">
        <w:t>a tool</w:t>
      </w:r>
      <w:r w:rsidRPr="00736F23">
        <w:rPr>
          <w:spacing w:val="1"/>
        </w:rPr>
        <w:t xml:space="preserve"> </w:t>
      </w:r>
      <w:r w:rsidRPr="00736F23">
        <w:t>to be used</w:t>
      </w:r>
      <w:r w:rsidRPr="00736F23">
        <w:rPr>
          <w:spacing w:val="-3"/>
        </w:rPr>
        <w:t xml:space="preserve"> </w:t>
      </w:r>
      <w:r w:rsidRPr="00736F23">
        <w:t xml:space="preserve">as part of that process a tool that is approved by the Secretary and published on the department’s website (see </w:t>
      </w:r>
      <w:r w:rsidRPr="00736F23">
        <w:rPr>
          <w:i/>
        </w:rPr>
        <w:t>VET Student Loans</w:t>
      </w:r>
      <w:r w:rsidRPr="00736F23">
        <w:t xml:space="preserve"> </w:t>
      </w:r>
      <w:r w:rsidRPr="00736F23">
        <w:rPr>
          <w:i/>
        </w:rPr>
        <w:t>Language Literacy and Numeracy (LLN) assessment tool information</w:t>
      </w:r>
      <w:r w:rsidRPr="00736F23">
        <w:t xml:space="preserve"> at </w:t>
      </w:r>
      <w:hyperlink r:id="rId81" w:history="1">
        <w:r w:rsidRPr="009D1DBC">
          <w:rPr>
            <w:rStyle w:val="Hyperlink"/>
          </w:rPr>
          <w:t>www.education.gov.au/vet-student-loans</w:t>
        </w:r>
      </w:hyperlink>
      <w:r w:rsidRPr="00736F23">
        <w:t>) and</w:t>
      </w:r>
    </w:p>
    <w:p w14:paraId="547D3CB5" w14:textId="77777777" w:rsidR="00983AE6" w:rsidRPr="00736F23" w:rsidRDefault="00983AE6" w:rsidP="00983AE6">
      <w:pPr>
        <w:pStyle w:val="ListBullet"/>
      </w:pPr>
      <w:r w:rsidRPr="00736F23">
        <w:t>require that process to be conducted with honesty and integrity</w:t>
      </w:r>
      <w:r w:rsidRPr="00B004A0">
        <w:t xml:space="preserve"> </w:t>
      </w:r>
      <w:r w:rsidRPr="00B004A0">
        <w:rPr>
          <w:b/>
        </w:rPr>
        <w:t>[Rules s 82(1)]</w:t>
      </w:r>
      <w:r w:rsidRPr="00B004A0">
        <w:t>.</w:t>
      </w:r>
    </w:p>
    <w:p w14:paraId="638EBF39" w14:textId="77777777" w:rsidR="00983AE6" w:rsidRPr="00B004A0" w:rsidRDefault="00983AE6" w:rsidP="0056749B">
      <w:pPr>
        <w:pStyle w:val="Heading5"/>
        <w:keepNext/>
        <w:keepLines/>
        <w:rPr>
          <w:rFonts w:eastAsiaTheme="minorEastAsia"/>
        </w:rPr>
      </w:pPr>
      <w:bookmarkStart w:id="1327" w:name="_Toc481505218"/>
      <w:bookmarkStart w:id="1328" w:name="_Toc483209539"/>
      <w:bookmarkStart w:id="1329" w:name="_Toc483222868"/>
      <w:bookmarkStart w:id="1330" w:name="_Toc471374404"/>
      <w:r w:rsidRPr="00B004A0">
        <w:rPr>
          <w:rFonts w:eastAsiaTheme="minorEastAsia"/>
        </w:rPr>
        <w:t>Results of assessments</w:t>
      </w:r>
      <w:bookmarkEnd w:id="1327"/>
      <w:bookmarkEnd w:id="1328"/>
      <w:bookmarkEnd w:id="1329"/>
    </w:p>
    <w:p w14:paraId="764AD4E1" w14:textId="77777777" w:rsidR="00983AE6" w:rsidRPr="00736F23" w:rsidRDefault="00983AE6" w:rsidP="00983AE6">
      <w:r w:rsidRPr="00736F23">
        <w:t>A provider’s student entry procedure must specify that the results of assessing a student’s competence in reading and numeracy under the procedure are to be reported:</w:t>
      </w:r>
    </w:p>
    <w:p w14:paraId="2FD5C083" w14:textId="77777777" w:rsidR="00983AE6" w:rsidRPr="00B356CA" w:rsidRDefault="00983AE6" w:rsidP="00983AE6">
      <w:pPr>
        <w:pStyle w:val="ListBullet"/>
        <w:rPr>
          <w:lang w:val="en"/>
        </w:rPr>
      </w:pPr>
      <w:r w:rsidRPr="00B356CA">
        <w:rPr>
          <w:lang w:val="en"/>
        </w:rPr>
        <w:t>to the student as soon as practicable after the assessment and</w:t>
      </w:r>
    </w:p>
    <w:p w14:paraId="36473656" w14:textId="77777777" w:rsidR="00983AE6" w:rsidRPr="00736F23" w:rsidRDefault="00983AE6" w:rsidP="00983AE6">
      <w:pPr>
        <w:pStyle w:val="ListBullet"/>
      </w:pPr>
      <w:r w:rsidRPr="00B356CA">
        <w:rPr>
          <w:lang w:val="en"/>
        </w:rPr>
        <w:t xml:space="preserve">to the Secretary in </w:t>
      </w:r>
      <w:r w:rsidRPr="00736F23">
        <w:t xml:space="preserve">the form, manner and by the time requested by the Secretary </w:t>
      </w:r>
      <w:r w:rsidRPr="009D1DBC">
        <w:rPr>
          <w:rStyle w:val="ReferenceChar"/>
        </w:rPr>
        <w:t>[Rules s 81]</w:t>
      </w:r>
      <w:r w:rsidR="00281FDD" w:rsidRPr="00281FDD">
        <w:rPr>
          <w:rStyle w:val="ReferenceChar"/>
          <w:color w:val="auto"/>
          <w:sz w:val="22"/>
        </w:rPr>
        <w:t>.</w:t>
      </w:r>
    </w:p>
    <w:p w14:paraId="64FC456D" w14:textId="77777777" w:rsidR="00983AE6" w:rsidRPr="00736F23" w:rsidRDefault="00983AE6" w:rsidP="00983AE6">
      <w:r w:rsidRPr="00E6710C">
        <w:t xml:space="preserve">A provider’s student entry procedure must specify that the provider must retain these results for </w:t>
      </w:r>
      <w:r w:rsidRPr="00736F23">
        <w:t xml:space="preserve">at least </w:t>
      </w:r>
      <w:r>
        <w:t>5</w:t>
      </w:r>
      <w:r w:rsidRPr="00736F23">
        <w:t xml:space="preserve"> years </w:t>
      </w:r>
      <w:r w:rsidRPr="009D1DBC">
        <w:rPr>
          <w:rStyle w:val="ReferenceChar"/>
        </w:rPr>
        <w:t>[Rules s 105]</w:t>
      </w:r>
      <w:r w:rsidRPr="00736F23">
        <w:t>.</w:t>
      </w:r>
    </w:p>
    <w:p w14:paraId="3D004BAD" w14:textId="77777777" w:rsidR="00983AE6" w:rsidRPr="00147281" w:rsidRDefault="00983AE6" w:rsidP="003943E5">
      <w:pPr>
        <w:pStyle w:val="Heading5"/>
      </w:pPr>
      <w:bookmarkStart w:id="1331" w:name="_Toc481505219"/>
      <w:bookmarkStart w:id="1332" w:name="_Toc483209540"/>
      <w:bookmarkStart w:id="1333" w:name="_Toc483222869"/>
      <w:r w:rsidRPr="00147281">
        <w:t>LLN assessment re-sit</w:t>
      </w:r>
      <w:bookmarkEnd w:id="1330"/>
      <w:bookmarkEnd w:id="1331"/>
      <w:bookmarkEnd w:id="1332"/>
      <w:bookmarkEnd w:id="1333"/>
      <w:r w:rsidRPr="00147281">
        <w:t xml:space="preserve"> </w:t>
      </w:r>
    </w:p>
    <w:p w14:paraId="4F6406F6" w14:textId="77777777" w:rsidR="00983AE6" w:rsidRPr="00736F23" w:rsidRDefault="00983AE6" w:rsidP="00983AE6">
      <w:r w:rsidRPr="00736F23">
        <w:t>If a student fails to achieve the required standard of language, literacy and numeracy (LLN) on sitting, the student may re-sit based on the provider’s assessment of readiness. The Australian Council for Educational Research’s (ACER’s) recommendation is that at least 3 months between assessments should provide enough time for progress to be made and improvement to be able to be demonstrated. This would allow time for the learner and the provider to implement any targeted LLN support and to have sufficient time for the learner to improve their LLN skills to the required level. Re</w:t>
      </w:r>
      <w:r w:rsidR="0097363C">
        <w:rPr>
          <w:rFonts w:cstheme="minorHAnsi"/>
        </w:rPr>
        <w:t>−</w:t>
      </w:r>
      <w:r w:rsidRPr="00736F23">
        <w:t xml:space="preserve">sit within 3 months will be a risk indicator. </w:t>
      </w:r>
    </w:p>
    <w:p w14:paraId="78174F80" w14:textId="354EE982" w:rsidR="0056749B" w:rsidRDefault="0056749B" w:rsidP="00983AE6">
      <w:r>
        <w:t>Providers must retain the student’s assessment undertaken as well as the results for 5 years and must provide these if requested by the Secretary or delegate.</w:t>
      </w:r>
    </w:p>
    <w:p w14:paraId="4B6BE069" w14:textId="46A02D5F" w:rsidR="00983AE6" w:rsidRPr="00736F23" w:rsidRDefault="00983AE6" w:rsidP="00983AE6">
      <w:r w:rsidRPr="00736F23">
        <w:t xml:space="preserve">Providers are reminded of the requirement for the </w:t>
      </w:r>
      <w:r w:rsidR="0056749B">
        <w:t xml:space="preserve">assessment test and </w:t>
      </w:r>
      <w:r w:rsidRPr="00736F23">
        <w:t>results of pre</w:t>
      </w:r>
      <w:r w:rsidRPr="00736F23">
        <w:noBreakHyphen/>
        <w:t xml:space="preserve">requisite assessments to be retained for </w:t>
      </w:r>
      <w:r>
        <w:t>5</w:t>
      </w:r>
      <w:r w:rsidRPr="00736F23">
        <w:t xml:space="preserve"> years and reported to the Secretary when requested. </w:t>
      </w:r>
    </w:p>
    <w:p w14:paraId="048CFC35" w14:textId="77777777" w:rsidR="00983AE6" w:rsidRPr="00147281" w:rsidRDefault="00983AE6" w:rsidP="003943E5">
      <w:pPr>
        <w:pStyle w:val="Heading5"/>
      </w:pPr>
      <w:bookmarkStart w:id="1334" w:name="_Toc471374405"/>
      <w:bookmarkStart w:id="1335" w:name="_Toc481505220"/>
      <w:bookmarkStart w:id="1336" w:name="_Toc483209541"/>
      <w:bookmarkStart w:id="1337" w:name="_Toc483222870"/>
      <w:r w:rsidRPr="00147281">
        <w:t>Approval of an external LLN assessment tool</w:t>
      </w:r>
      <w:bookmarkEnd w:id="1334"/>
      <w:bookmarkEnd w:id="1335"/>
      <w:bookmarkEnd w:id="1336"/>
      <w:bookmarkEnd w:id="1337"/>
      <w:r w:rsidRPr="00147281">
        <w:t xml:space="preserve"> </w:t>
      </w:r>
    </w:p>
    <w:p w14:paraId="2FB42B7C" w14:textId="4FFE73DD" w:rsidR="00983AE6" w:rsidRDefault="00983AE6" w:rsidP="00983AE6">
      <w:r w:rsidRPr="00F0276A">
        <w:t>The Secretary may, on application by an approved course provider or a Commonwealth, State or Territory government agency</w:t>
      </w:r>
      <w:r w:rsidR="0056749B">
        <w:t xml:space="preserve"> (refer ‘</w:t>
      </w:r>
      <w:hyperlink w:anchor="_Applications" w:history="1">
        <w:r w:rsidR="0056749B" w:rsidRPr="0056749B">
          <w:rPr>
            <w:rStyle w:val="Hyperlink"/>
          </w:rPr>
          <w:t>Applications</w:t>
        </w:r>
      </w:hyperlink>
      <w:r w:rsidR="0056749B">
        <w:t>’ section below)</w:t>
      </w:r>
      <w:r w:rsidRPr="00F0276A">
        <w:t>, approve a tool for assessing a student’s competence in reading and numeracy</w:t>
      </w:r>
      <w:r>
        <w:t xml:space="preserve"> </w:t>
      </w:r>
      <w:r w:rsidRPr="009D1DBC">
        <w:rPr>
          <w:rStyle w:val="ReferenceChar"/>
        </w:rPr>
        <w:t>[Rules s 82(2)]</w:t>
      </w:r>
      <w:r>
        <w:t xml:space="preserve">. </w:t>
      </w:r>
      <w:r w:rsidRPr="00736F23">
        <w:t>The Secretary must be satisfied that the tool is a valid, reliable, fair and well</w:t>
      </w:r>
      <w:r w:rsidRPr="00736F23">
        <w:noBreakHyphen/>
        <w:t xml:space="preserve">constructed way of assessing whether competence is at or above Exit Level 3 in the ACSF. </w:t>
      </w:r>
      <w:r>
        <w:t xml:space="preserve">Except where an application is from a </w:t>
      </w:r>
      <w:r w:rsidRPr="00F0276A">
        <w:t>Commonwealth, State or Territory government agenc</w:t>
      </w:r>
      <w:r>
        <w:t>y,</w:t>
      </w:r>
      <w:r w:rsidRPr="00736F23">
        <w:t xml:space="preserve"> </w:t>
      </w:r>
      <w:r>
        <w:t>t</w:t>
      </w:r>
      <w:r w:rsidRPr="00736F23">
        <w:t>he tool must be appropriately verified and evaluated using evidence-based assessment by a suitably qualified independent body</w:t>
      </w:r>
      <w:r w:rsidR="00FF0B24">
        <w:t xml:space="preserve"> (refer ‘</w:t>
      </w:r>
      <w:hyperlink w:anchor="_Independent_review" w:history="1">
        <w:r w:rsidR="00FF0B24" w:rsidRPr="00FF0B24">
          <w:rPr>
            <w:rStyle w:val="Hyperlink"/>
          </w:rPr>
          <w:t>Independent Review</w:t>
        </w:r>
      </w:hyperlink>
      <w:r w:rsidR="00FF0B24">
        <w:t>’ section below)</w:t>
      </w:r>
      <w:r w:rsidRPr="00736F23">
        <w:t xml:space="preserve">. </w:t>
      </w:r>
    </w:p>
    <w:p w14:paraId="2DF510A9" w14:textId="77777777" w:rsidR="00983AE6" w:rsidRPr="00736F23" w:rsidRDefault="00983AE6" w:rsidP="003943E5">
      <w:pPr>
        <w:pStyle w:val="Heading5"/>
      </w:pPr>
      <w:bookmarkStart w:id="1338" w:name="_Applications"/>
      <w:bookmarkEnd w:id="1338"/>
      <w:r w:rsidRPr="00736F23">
        <w:t>Applications</w:t>
      </w:r>
    </w:p>
    <w:p w14:paraId="2D8CEA5A" w14:textId="77777777" w:rsidR="00983AE6" w:rsidRPr="00736F23" w:rsidRDefault="00983AE6" w:rsidP="00983AE6">
      <w:r w:rsidRPr="00736F23">
        <w:t>An application from an approved course provider must contain the following information, evidence and other material:</w:t>
      </w:r>
    </w:p>
    <w:p w14:paraId="12075910" w14:textId="77777777" w:rsidR="00983AE6" w:rsidRPr="00993767" w:rsidRDefault="00983AE6" w:rsidP="00A0727A">
      <w:pPr>
        <w:pStyle w:val="alphabetpoint"/>
        <w:numPr>
          <w:ilvl w:val="0"/>
          <w:numId w:val="66"/>
        </w:numPr>
        <w:ind w:left="709" w:hanging="283"/>
      </w:pPr>
      <w:r w:rsidRPr="00993767">
        <w:t>Applicant approved course provider’s name</w:t>
      </w:r>
    </w:p>
    <w:p w14:paraId="3EF07089" w14:textId="77777777" w:rsidR="00983AE6" w:rsidRPr="00993767" w:rsidRDefault="00983AE6" w:rsidP="00993767">
      <w:pPr>
        <w:pStyle w:val="alphabetpoint"/>
        <w:ind w:left="709" w:hanging="283"/>
      </w:pPr>
      <w:r w:rsidRPr="00993767">
        <w:t>Contact information for the approved course provider for the purposes of the application</w:t>
      </w:r>
    </w:p>
    <w:p w14:paraId="291A1AAD" w14:textId="77777777" w:rsidR="00983AE6" w:rsidRPr="00993767" w:rsidRDefault="00983AE6" w:rsidP="00993767">
      <w:pPr>
        <w:pStyle w:val="alphabetpoint"/>
        <w:ind w:left="709" w:hanging="283"/>
      </w:pPr>
      <w:r w:rsidRPr="00993767">
        <w:t>Registered business name of the applicant approved course provider (if different)</w:t>
      </w:r>
    </w:p>
    <w:p w14:paraId="697E2FB1" w14:textId="77777777" w:rsidR="00983AE6" w:rsidRPr="00993767" w:rsidRDefault="00983AE6" w:rsidP="00993767">
      <w:pPr>
        <w:pStyle w:val="alphabetpoint"/>
        <w:ind w:left="709" w:hanging="283"/>
      </w:pPr>
      <w:r w:rsidRPr="00993767">
        <w:t>Any other business name(s) of the applicant approved course provider</w:t>
      </w:r>
    </w:p>
    <w:p w14:paraId="28F89921" w14:textId="77777777" w:rsidR="00983AE6" w:rsidRPr="00993767" w:rsidRDefault="00983AE6" w:rsidP="00993767">
      <w:pPr>
        <w:pStyle w:val="alphabetpoint"/>
        <w:ind w:left="709" w:hanging="283"/>
      </w:pPr>
      <w:r w:rsidRPr="00993767">
        <w:lastRenderedPageBreak/>
        <w:t>Business address of the applicant approved course provider</w:t>
      </w:r>
    </w:p>
    <w:p w14:paraId="64175C2E" w14:textId="77777777" w:rsidR="00983AE6" w:rsidRPr="00993767" w:rsidRDefault="00983AE6" w:rsidP="00993767">
      <w:pPr>
        <w:pStyle w:val="alphabetpoint"/>
        <w:ind w:left="709" w:hanging="283"/>
      </w:pPr>
      <w:r w:rsidRPr="00993767">
        <w:t>Name/description of the language, literacy and numeracy (LLN) testing tool(s) proposed for approval (including version and other relevant identifiers as necessary)</w:t>
      </w:r>
    </w:p>
    <w:p w14:paraId="6F383EB4" w14:textId="77777777" w:rsidR="00983AE6" w:rsidRPr="00993767" w:rsidRDefault="00983AE6" w:rsidP="00993767">
      <w:pPr>
        <w:pStyle w:val="alphabetpoint"/>
        <w:ind w:left="709" w:hanging="283"/>
      </w:pPr>
      <w:r w:rsidRPr="00993767">
        <w:t>Name and other relevant details of body/person undertaking the review of the proposed LLN testing tool</w:t>
      </w:r>
    </w:p>
    <w:p w14:paraId="5BCA721B" w14:textId="77777777" w:rsidR="00983AE6" w:rsidRPr="009D1DBC" w:rsidRDefault="00983AE6" w:rsidP="00993767">
      <w:pPr>
        <w:pStyle w:val="alphabetpoint"/>
        <w:ind w:left="709" w:hanging="283"/>
        <w:rPr>
          <w:rFonts w:eastAsiaTheme="minorHAnsi"/>
        </w:rPr>
      </w:pPr>
      <w:r w:rsidRPr="00993767">
        <w:t>Certification/information from the body/person undertaking the review of the proposed LLN</w:t>
      </w:r>
      <w:r w:rsidRPr="009D1DBC">
        <w:rPr>
          <w:rFonts w:eastAsiaTheme="minorHAnsi"/>
        </w:rPr>
        <w:t xml:space="preserve"> testing tool, as follows:</w:t>
      </w:r>
    </w:p>
    <w:p w14:paraId="00885340" w14:textId="77777777" w:rsidR="00983AE6" w:rsidRPr="009D1DBC" w:rsidRDefault="00983AE6" w:rsidP="00A0727A">
      <w:pPr>
        <w:pStyle w:val="alphabetpoint"/>
        <w:numPr>
          <w:ilvl w:val="0"/>
          <w:numId w:val="36"/>
        </w:numPr>
        <w:ind w:left="1134" w:hanging="283"/>
        <w:rPr>
          <w:rFonts w:eastAsiaTheme="minorHAnsi"/>
        </w:rPr>
      </w:pPr>
      <w:r w:rsidRPr="009D1DBC">
        <w:rPr>
          <w:rFonts w:eastAsiaTheme="minorHAnsi"/>
        </w:rPr>
        <w:t>Name/description of the LLN testing tool(s) reviewed (including version and other relevant identifiers as necessary)</w:t>
      </w:r>
    </w:p>
    <w:p w14:paraId="08EE5EC6" w14:textId="77777777" w:rsidR="00983AE6" w:rsidRPr="009D1DBC" w:rsidRDefault="00983AE6" w:rsidP="00A0727A">
      <w:pPr>
        <w:pStyle w:val="alphabetpoint"/>
        <w:numPr>
          <w:ilvl w:val="0"/>
          <w:numId w:val="36"/>
        </w:numPr>
        <w:ind w:left="1134" w:hanging="283"/>
        <w:rPr>
          <w:rFonts w:eastAsiaTheme="minorHAnsi"/>
        </w:rPr>
      </w:pPr>
      <w:r w:rsidRPr="00736F23">
        <w:t>Declaration of any potential conflicts of interest, or that there are no conflicts of interest, and specifically:</w:t>
      </w:r>
    </w:p>
    <w:p w14:paraId="3BB67EF7" w14:textId="77777777" w:rsidR="00983AE6" w:rsidRPr="00736F23" w:rsidRDefault="00983AE6" w:rsidP="00983AE6">
      <w:pPr>
        <w:pStyle w:val="ipoints"/>
        <w:ind w:left="1418" w:hanging="426"/>
      </w:pPr>
      <w:r>
        <w:t>c</w:t>
      </w:r>
      <w:r w:rsidRPr="00736F23">
        <w:t>ertification of their independence from the tool assessed</w:t>
      </w:r>
    </w:p>
    <w:p w14:paraId="63318F13" w14:textId="77777777" w:rsidR="00983AE6" w:rsidRPr="00736F23" w:rsidRDefault="00983AE6" w:rsidP="00983AE6">
      <w:pPr>
        <w:pStyle w:val="ipoints"/>
        <w:ind w:left="1418" w:hanging="426"/>
      </w:pPr>
      <w:r>
        <w:t>c</w:t>
      </w:r>
      <w:r w:rsidRPr="00736F23">
        <w:t>ertification of their independence from ‘selling’ adult LLN assessment tools</w:t>
      </w:r>
    </w:p>
    <w:p w14:paraId="7F4ABD0A" w14:textId="77777777" w:rsidR="00983AE6" w:rsidRPr="00736F23" w:rsidRDefault="00983AE6" w:rsidP="00983AE6">
      <w:pPr>
        <w:pStyle w:val="ipoints"/>
        <w:ind w:left="1418" w:hanging="426"/>
      </w:pPr>
      <w:r>
        <w:t>c</w:t>
      </w:r>
      <w:r w:rsidRPr="00736F23">
        <w:t>ertification of their independence from the applicant RTO</w:t>
      </w:r>
    </w:p>
    <w:p w14:paraId="71433379" w14:textId="77777777" w:rsidR="00983AE6" w:rsidRPr="00736F23" w:rsidRDefault="00983AE6" w:rsidP="00983AE6">
      <w:pPr>
        <w:pStyle w:val="alphabetpoint"/>
        <w:ind w:left="709" w:hanging="283"/>
      </w:pPr>
      <w:r w:rsidRPr="00736F23">
        <w:t>Details of their particular relevant qualifications, skills, knowledge and experience, and specifically:</w:t>
      </w:r>
    </w:p>
    <w:p w14:paraId="3A1A9920" w14:textId="77777777" w:rsidR="00983AE6" w:rsidRPr="00736F23" w:rsidRDefault="00983AE6" w:rsidP="00983AE6">
      <w:pPr>
        <w:pStyle w:val="ListParagraph"/>
        <w:numPr>
          <w:ilvl w:val="0"/>
          <w:numId w:val="21"/>
        </w:numPr>
        <w:spacing w:after="120" w:line="276" w:lineRule="auto"/>
        <w:ind w:left="1418" w:hanging="425"/>
        <w:rPr>
          <w:rFonts w:eastAsiaTheme="minorHAnsi" w:cstheme="minorHAnsi"/>
        </w:rPr>
      </w:pPr>
      <w:r>
        <w:rPr>
          <w:rFonts w:eastAsiaTheme="minorHAnsi" w:cstheme="minorHAnsi"/>
        </w:rPr>
        <w:t>de</w:t>
      </w:r>
      <w:r w:rsidRPr="00736F23">
        <w:rPr>
          <w:rFonts w:eastAsiaTheme="minorHAnsi" w:cstheme="minorHAnsi"/>
        </w:rPr>
        <w:t>tails of their expertise in reviewing LLN testing tool(s)</w:t>
      </w:r>
    </w:p>
    <w:p w14:paraId="29713752" w14:textId="77777777" w:rsidR="00983AE6" w:rsidRPr="00736F23" w:rsidRDefault="00983AE6" w:rsidP="00983AE6">
      <w:pPr>
        <w:pStyle w:val="ListParagraph"/>
        <w:numPr>
          <w:ilvl w:val="0"/>
          <w:numId w:val="21"/>
        </w:numPr>
        <w:spacing w:after="0" w:line="276" w:lineRule="auto"/>
        <w:ind w:left="1418" w:hanging="425"/>
        <w:rPr>
          <w:rFonts w:eastAsiaTheme="minorHAnsi" w:cstheme="minorHAnsi"/>
        </w:rPr>
      </w:pPr>
      <w:r>
        <w:rPr>
          <w:rFonts w:eastAsiaTheme="minorHAnsi" w:cstheme="minorHAnsi"/>
        </w:rPr>
        <w:t>d</w:t>
      </w:r>
      <w:r w:rsidRPr="00736F23">
        <w:rPr>
          <w:rFonts w:eastAsiaTheme="minorHAnsi" w:cstheme="minorHAnsi"/>
        </w:rPr>
        <w:t>etails of their expertise in LLN assessment, including with the Australian Core Skills Framework</w:t>
      </w:r>
    </w:p>
    <w:p w14:paraId="7763FE55" w14:textId="77777777" w:rsidR="00983AE6" w:rsidRPr="00736F23" w:rsidRDefault="00983AE6" w:rsidP="00983AE6">
      <w:pPr>
        <w:pStyle w:val="alphabetpoint"/>
        <w:ind w:left="709" w:hanging="283"/>
        <w:rPr>
          <w:lang w:val="en-US"/>
        </w:rPr>
      </w:pPr>
      <w:r w:rsidRPr="00736F23">
        <w:rPr>
          <w:rFonts w:eastAsiaTheme="minorHAnsi"/>
        </w:rPr>
        <w:t>Certification of their findings (including sufficient details of those findings, and relevant details of the evidence and other materials relied upon in reaching those findings), documente</w:t>
      </w:r>
      <w:r>
        <w:rPr>
          <w:rFonts w:eastAsiaTheme="minorHAnsi"/>
        </w:rPr>
        <w:t>d in accordance with Appendix I ‘</w:t>
      </w:r>
      <w:r w:rsidRPr="00736F23">
        <w:rPr>
          <w:rFonts w:eastAsiaTheme="minorHAnsi"/>
        </w:rPr>
        <w:t>Checklist of auditable requirements for LLN testing instrument</w:t>
      </w:r>
      <w:r>
        <w:rPr>
          <w:rFonts w:eastAsiaTheme="minorHAnsi"/>
        </w:rPr>
        <w:t>’</w:t>
      </w:r>
      <w:r w:rsidRPr="00736F23">
        <w:rPr>
          <w:rFonts w:eastAsiaTheme="minorHAnsi"/>
        </w:rPr>
        <w:t xml:space="preserve">, to the document </w:t>
      </w:r>
      <w:r w:rsidRPr="00736F23">
        <w:rPr>
          <w:rFonts w:eastAsiaTheme="minorHAnsi"/>
          <w:i/>
        </w:rPr>
        <w:t>Assessment of LLN testing tools and processes for the VET Student Loans Program</w:t>
      </w:r>
      <w:r w:rsidRPr="00736F23">
        <w:rPr>
          <w:rFonts w:eastAsiaTheme="minorHAnsi"/>
        </w:rPr>
        <w:t>, as published by the department from time to time. Copies of the evidence and other material relied upon in reaching the findings are to be submitted with the checklist.</w:t>
      </w:r>
    </w:p>
    <w:p w14:paraId="5220EFE6" w14:textId="77777777" w:rsidR="00983AE6" w:rsidRDefault="00983AE6" w:rsidP="00983AE6">
      <w:r w:rsidRPr="00736F23">
        <w:t>Applications that do not meet the above requirements may be considered invalid.</w:t>
      </w:r>
    </w:p>
    <w:p w14:paraId="54A02F7B" w14:textId="77777777" w:rsidR="00983AE6" w:rsidRDefault="00983AE6" w:rsidP="00983AE6">
      <w:r w:rsidRPr="00736F23">
        <w:t>Applications must</w:t>
      </w:r>
      <w:r>
        <w:t xml:space="preserve"> be</w:t>
      </w:r>
      <w:r w:rsidRPr="00736F23">
        <w:t xml:space="preserve"> </w:t>
      </w:r>
      <w:r>
        <w:t>uploaded to HITS.</w:t>
      </w:r>
      <w:r w:rsidRPr="00475C7A">
        <w:t xml:space="preserve"> See the chapter on ‘Uploading a Document’ in the </w:t>
      </w:r>
      <w:hyperlink r:id="rId82" w:history="1">
        <w:r w:rsidRPr="009D1DBC">
          <w:rPr>
            <w:rStyle w:val="Hyperlink"/>
          </w:rPr>
          <w:t>HITS User Guide</w:t>
        </w:r>
      </w:hyperlink>
      <w:r w:rsidRPr="00475C7A">
        <w:rPr>
          <w:i/>
        </w:rPr>
        <w:t xml:space="preserve"> </w:t>
      </w:r>
      <w:r w:rsidRPr="00475C7A">
        <w:t>for further information</w:t>
      </w:r>
      <w:r>
        <w:t>.</w:t>
      </w:r>
    </w:p>
    <w:p w14:paraId="204A753A" w14:textId="77777777" w:rsidR="000C58DC" w:rsidRDefault="00983AE6" w:rsidP="000C58DC">
      <w:r>
        <w:t xml:space="preserve">The provider must alert the department to its application by </w:t>
      </w:r>
      <w:r w:rsidR="00D41769">
        <w:t>completing</w:t>
      </w:r>
      <w:r>
        <w:t xml:space="preserve"> the </w:t>
      </w:r>
      <w:r w:rsidR="007C3509">
        <w:t>p</w:t>
      </w:r>
      <w:r w:rsidRPr="00E03E53">
        <w:t>rovider online enquiry form at</w:t>
      </w:r>
      <w:r w:rsidR="000C58DC">
        <w:t>:</w:t>
      </w:r>
      <w:r w:rsidRPr="00E03E53">
        <w:t xml:space="preserve"> </w:t>
      </w:r>
      <w:hyperlink r:id="rId83" w:history="1">
        <w:r w:rsidR="000C58DC" w:rsidRPr="000C58DC">
          <w:rPr>
            <w:rStyle w:val="Hyperlink"/>
          </w:rPr>
          <w:t>www.education.gov.au/information-vet-student-loans-approved-providers</w:t>
        </w:r>
      </w:hyperlink>
      <w:r w:rsidR="000C58DC">
        <w:rPr>
          <w:b/>
        </w:rPr>
        <w:t>.</w:t>
      </w:r>
    </w:p>
    <w:p w14:paraId="3D1A3795" w14:textId="77777777" w:rsidR="00983AE6" w:rsidRDefault="000C58DC" w:rsidP="00983AE6">
      <w:r>
        <w:t>C</w:t>
      </w:r>
      <w:r w:rsidR="00983AE6">
        <w:t>hoose ‘Other’ from the drop down list and insert the subject line:</w:t>
      </w:r>
    </w:p>
    <w:p w14:paraId="31D32AC4" w14:textId="77777777" w:rsidR="00983AE6" w:rsidRPr="009D1DBC" w:rsidRDefault="00983AE6" w:rsidP="00983AE6">
      <w:pPr>
        <w:rPr>
          <w:rStyle w:val="Emphasis"/>
        </w:rPr>
      </w:pPr>
      <w:r w:rsidRPr="009D1DBC">
        <w:rPr>
          <w:rStyle w:val="Emphasis"/>
        </w:rPr>
        <w:t>Application – LLN tool- [provider name]</w:t>
      </w:r>
    </w:p>
    <w:p w14:paraId="0D1C80AA" w14:textId="77777777" w:rsidR="00983AE6" w:rsidRPr="00736F23" w:rsidRDefault="00983AE6" w:rsidP="003943E5">
      <w:pPr>
        <w:pStyle w:val="Heading5"/>
      </w:pPr>
      <w:r w:rsidRPr="00736F23">
        <w:t>Assessment of an application</w:t>
      </w:r>
    </w:p>
    <w:p w14:paraId="1980BCF9" w14:textId="77777777" w:rsidR="000C58DC" w:rsidRDefault="00983AE6" w:rsidP="00983AE6">
      <w:r>
        <w:t xml:space="preserve">Bodies </w:t>
      </w:r>
      <w:r w:rsidRPr="00736F23">
        <w:t xml:space="preserve">wishing to apply for approval of an external LLN tool should access </w:t>
      </w:r>
      <w:r w:rsidRPr="00770921">
        <w:rPr>
          <w:i/>
        </w:rPr>
        <w:t xml:space="preserve">Assessment of LLN testing tools and processes for the VET Student Loans program, </w:t>
      </w:r>
      <w:r w:rsidRPr="00770921">
        <w:t xml:space="preserve">which </w:t>
      </w:r>
      <w:r w:rsidRPr="00736F23">
        <w:t xml:space="preserve">is available on the department’s website at: </w:t>
      </w:r>
      <w:hyperlink r:id="rId84" w:history="1">
        <w:r w:rsidR="000C58DC" w:rsidRPr="000C58DC">
          <w:rPr>
            <w:rStyle w:val="Hyperlink"/>
          </w:rPr>
          <w:t>www.education.gov.au/information-vet-student-loans-approved-providers</w:t>
        </w:r>
      </w:hyperlink>
      <w:r w:rsidR="000C58DC">
        <w:t>.</w:t>
      </w:r>
    </w:p>
    <w:p w14:paraId="7ADE4D4F" w14:textId="77777777" w:rsidR="00983AE6" w:rsidRPr="00736F23" w:rsidRDefault="00983AE6" w:rsidP="00983AE6">
      <w:r w:rsidRPr="00736F23">
        <w:t>In deciding whether to approve an assessment tool the department is required to have regard to:</w:t>
      </w:r>
    </w:p>
    <w:p w14:paraId="3D48BA06" w14:textId="77777777" w:rsidR="00983AE6" w:rsidRPr="00736F23" w:rsidRDefault="00983AE6" w:rsidP="00983AE6">
      <w:pPr>
        <w:pStyle w:val="ListBullet"/>
      </w:pPr>
      <w:r w:rsidRPr="00736F23">
        <w:t>criteria for approval of tools for testing competence in reading and numeracy against the Australian Core Skills Framework and</w:t>
      </w:r>
    </w:p>
    <w:p w14:paraId="2A15486E" w14:textId="77777777" w:rsidR="00983AE6" w:rsidRPr="00736F23" w:rsidRDefault="00983AE6" w:rsidP="00983AE6">
      <w:pPr>
        <w:pStyle w:val="ListBullet"/>
      </w:pPr>
      <w:r w:rsidRPr="00736F23">
        <w:t>measures for quality assurance of such tools.</w:t>
      </w:r>
    </w:p>
    <w:p w14:paraId="0D886C0C" w14:textId="77777777" w:rsidR="00983AE6" w:rsidRPr="00736F23" w:rsidRDefault="00983AE6" w:rsidP="00F15113">
      <w:pPr>
        <w:pStyle w:val="Heading5"/>
        <w:keepNext/>
        <w:keepLines/>
      </w:pPr>
      <w:bookmarkStart w:id="1339" w:name="_Independent_review"/>
      <w:bookmarkEnd w:id="1339"/>
      <w:r w:rsidRPr="00736F23">
        <w:lastRenderedPageBreak/>
        <w:t>Independent review</w:t>
      </w:r>
    </w:p>
    <w:p w14:paraId="45A5B1CB" w14:textId="77777777" w:rsidR="00983AE6" w:rsidRPr="00736F23" w:rsidRDefault="00983AE6" w:rsidP="00983AE6">
      <w:r w:rsidRPr="00736F23">
        <w:t>An approved course provider must arrange to have the assessment tool they propose for approval independently reviewed. In determining the appropriateness of the body or person that has undertaken the review, the department will give particular weight to the following:</w:t>
      </w:r>
    </w:p>
    <w:p w14:paraId="00A2A3BF" w14:textId="77777777" w:rsidR="00983AE6" w:rsidRPr="000812CF" w:rsidRDefault="00983AE6" w:rsidP="00983AE6">
      <w:pPr>
        <w:pStyle w:val="ListBullet"/>
      </w:pPr>
      <w:r w:rsidRPr="000812CF">
        <w:t>absence of real or apparent bias or conflict of interest, particularly indicated by:</w:t>
      </w:r>
    </w:p>
    <w:p w14:paraId="7A70988C" w14:textId="4C0B1A9B" w:rsidR="00983AE6" w:rsidRPr="00736F23" w:rsidRDefault="00983AE6" w:rsidP="00A0727A">
      <w:pPr>
        <w:pStyle w:val="ListBullet2"/>
        <w:numPr>
          <w:ilvl w:val="1"/>
          <w:numId w:val="37"/>
        </w:numPr>
      </w:pPr>
      <w:r w:rsidRPr="00736F23">
        <w:t xml:space="preserve">independence from the product assessed (e.g. absence of propriety, commercial or financial interest; not involved in its development; not involved in its use; not associated with an organisation that uses the tool </w:t>
      </w:r>
      <w:r w:rsidRPr="00736F23">
        <w:rPr>
          <w:color w:val="222222"/>
        </w:rPr>
        <w:t>et cetera</w:t>
      </w:r>
      <w:r w:rsidRPr="00736F23">
        <w:t>)</w:t>
      </w:r>
    </w:p>
    <w:p w14:paraId="4C991B9C" w14:textId="77777777" w:rsidR="00983AE6" w:rsidRPr="00736F23" w:rsidRDefault="00983AE6" w:rsidP="00A0727A">
      <w:pPr>
        <w:pStyle w:val="ListBullet2"/>
        <w:numPr>
          <w:ilvl w:val="1"/>
          <w:numId w:val="37"/>
        </w:numPr>
      </w:pPr>
      <w:r w:rsidRPr="00736F23">
        <w:t>independence from ‘selling’ adult LLN assessment tools (that is no current, material commercial, financial or similar interests)</w:t>
      </w:r>
    </w:p>
    <w:p w14:paraId="28C51281" w14:textId="59DED3E4" w:rsidR="00983AE6" w:rsidRPr="00736F23" w:rsidRDefault="00983AE6" w:rsidP="00A0727A">
      <w:pPr>
        <w:pStyle w:val="ListBullet2"/>
        <w:numPr>
          <w:ilvl w:val="1"/>
          <w:numId w:val="37"/>
        </w:numPr>
      </w:pPr>
      <w:r w:rsidRPr="00736F23">
        <w:t xml:space="preserve">independence from the applicant registered training organisation (RTO) (for example not employed or subcontracted by the RTO to provide training and assessment; no other involvement or interest in the operations of the RTO </w:t>
      </w:r>
      <w:r w:rsidRPr="00736F23">
        <w:rPr>
          <w:color w:val="222222"/>
        </w:rPr>
        <w:t>et cetera</w:t>
      </w:r>
      <w:r w:rsidRPr="00736F23">
        <w:t>)</w:t>
      </w:r>
    </w:p>
    <w:p w14:paraId="2B63A8BF" w14:textId="77777777" w:rsidR="00983AE6" w:rsidRPr="00F0276A" w:rsidRDefault="00983AE6" w:rsidP="00983AE6">
      <w:pPr>
        <w:pStyle w:val="ListBullet"/>
      </w:pPr>
      <w:r w:rsidRPr="00F0276A">
        <w:t>has the necessary expertise, particularly indicated by:</w:t>
      </w:r>
    </w:p>
    <w:p w14:paraId="294D5E9C" w14:textId="77777777" w:rsidR="00983AE6" w:rsidRPr="00736F23" w:rsidRDefault="00983AE6" w:rsidP="00A0727A">
      <w:pPr>
        <w:pStyle w:val="ListBullet2"/>
        <w:numPr>
          <w:ilvl w:val="1"/>
          <w:numId w:val="37"/>
        </w:numPr>
      </w:pPr>
      <w:r w:rsidRPr="00736F23">
        <w:t>expertise in conducting such approval or auditing processes, preferably within the VET sector</w:t>
      </w:r>
    </w:p>
    <w:p w14:paraId="18335B7E" w14:textId="608CC7D9" w:rsidR="00983AE6" w:rsidRPr="00736F23" w:rsidRDefault="00983AE6" w:rsidP="00A0727A">
      <w:pPr>
        <w:pStyle w:val="ListBullet2"/>
        <w:numPr>
          <w:ilvl w:val="1"/>
          <w:numId w:val="37"/>
        </w:numPr>
      </w:pPr>
      <w:r w:rsidRPr="00736F23">
        <w:t>expertise in adult LLN assessment including with the ACSF.</w:t>
      </w:r>
    </w:p>
    <w:p w14:paraId="0549BBEE" w14:textId="77777777" w:rsidR="00983AE6" w:rsidRPr="00145926" w:rsidRDefault="00983AE6" w:rsidP="00983AE6">
      <w:pPr>
        <w:rPr>
          <w:rFonts w:eastAsia="Times New Roman"/>
          <w:i/>
          <w:color w:val="000000"/>
        </w:rPr>
      </w:pPr>
      <w:r w:rsidRPr="00145926">
        <w:t>The findings of the body or person, including sufficient details of those findings, and relevant details of the evidence and other materials relied upon in reaching those findings</w:t>
      </w:r>
      <w:r w:rsidRPr="00145926">
        <w:rPr>
          <w:rFonts w:eastAsia="Times New Roman"/>
          <w:i/>
          <w:color w:val="000000"/>
        </w:rPr>
        <w:t xml:space="preserve">, </w:t>
      </w:r>
      <w:r w:rsidRPr="00145926">
        <w:rPr>
          <w:rFonts w:eastAsia="Times New Roman"/>
          <w:color w:val="000000"/>
        </w:rPr>
        <w:t>should be documented against the</w:t>
      </w:r>
      <w:r w:rsidRPr="00145926">
        <w:rPr>
          <w:rFonts w:eastAsia="Times New Roman"/>
          <w:i/>
          <w:color w:val="000000"/>
        </w:rPr>
        <w:t xml:space="preserve"> ‘</w:t>
      </w:r>
      <w:r w:rsidRPr="00145926">
        <w:rPr>
          <w:rFonts w:eastAsia="Times New Roman"/>
          <w:color w:val="000000"/>
        </w:rPr>
        <w:t xml:space="preserve">Checklist of Auditable Requirements for Foundation Skills assessments’ included at Appendix I of </w:t>
      </w:r>
      <w:r w:rsidRPr="00145926">
        <w:rPr>
          <w:rFonts w:eastAsia="Times New Roman"/>
          <w:i/>
          <w:color w:val="000000"/>
        </w:rPr>
        <w:t xml:space="preserve">Assessment of LLN testing instruments and processes for the VET Student Loans program. </w:t>
      </w:r>
      <w:r w:rsidRPr="00145926">
        <w:rPr>
          <w:rFonts w:eastAsia="Times New Roman"/>
          <w:color w:val="000000"/>
        </w:rPr>
        <w:t>The review by the independent expert must be evidence based.</w:t>
      </w:r>
    </w:p>
    <w:p w14:paraId="78BB540D" w14:textId="77777777" w:rsidR="00983AE6" w:rsidRPr="00736F23" w:rsidRDefault="00983AE6" w:rsidP="00983AE6">
      <w:r w:rsidRPr="00A97EB3">
        <w:rPr>
          <w:rFonts w:eastAsia="Times New Roman"/>
          <w:color w:val="000000"/>
        </w:rPr>
        <w:t>The review and assessment of a body or person that does not meet the above criteria, or does not appropriately document</w:t>
      </w:r>
      <w:r w:rsidRPr="00A97EB3">
        <w:t xml:space="preserve"> findings, is unlikely to be given weight in the decision making process</w:t>
      </w:r>
      <w:r w:rsidRPr="00736F23">
        <w:t>.</w:t>
      </w:r>
    </w:p>
    <w:p w14:paraId="6BE270FF" w14:textId="77777777" w:rsidR="00983AE6" w:rsidRPr="00147281" w:rsidRDefault="00983AE6" w:rsidP="003943E5">
      <w:pPr>
        <w:pStyle w:val="Heading5"/>
      </w:pPr>
      <w:bookmarkStart w:id="1340" w:name="_Toc481505221"/>
      <w:bookmarkStart w:id="1341" w:name="_Toc483209542"/>
      <w:bookmarkStart w:id="1342" w:name="_Toc483222871"/>
      <w:r w:rsidRPr="00147281">
        <w:t>Decision not to approve an assessment tool</w:t>
      </w:r>
      <w:bookmarkEnd w:id="1340"/>
      <w:bookmarkEnd w:id="1341"/>
      <w:bookmarkEnd w:id="1342"/>
    </w:p>
    <w:p w14:paraId="6915DF6B" w14:textId="77777777" w:rsidR="00983AE6" w:rsidRPr="00736F23" w:rsidRDefault="00983AE6" w:rsidP="00983AE6">
      <w:r w:rsidRPr="00736F23">
        <w:t>If a provider has requested approval of an assessment tool and does not agree with decision, the provider may apply to the Secretary to review the decision.</w:t>
      </w:r>
    </w:p>
    <w:p w14:paraId="07290496" w14:textId="77777777" w:rsidR="00983AE6" w:rsidRPr="00736F23" w:rsidRDefault="00983AE6" w:rsidP="00983AE6">
      <w:r w:rsidRPr="00736F23">
        <w:t>The application must:</w:t>
      </w:r>
    </w:p>
    <w:p w14:paraId="4BA19382" w14:textId="77777777" w:rsidR="00983AE6" w:rsidRPr="00736F23" w:rsidRDefault="00983AE6" w:rsidP="00983AE6">
      <w:pPr>
        <w:pStyle w:val="ListBullet"/>
      </w:pPr>
      <w:r w:rsidRPr="00736F23">
        <w:t>be in a form approved by the Secretary; and</w:t>
      </w:r>
    </w:p>
    <w:p w14:paraId="10A4B1BB" w14:textId="77777777" w:rsidR="00983AE6" w:rsidRPr="00736F23" w:rsidRDefault="00983AE6" w:rsidP="00983AE6">
      <w:pPr>
        <w:pStyle w:val="ListBullet"/>
        <w:rPr>
          <w:sz w:val="20"/>
          <w:szCs w:val="20"/>
        </w:rPr>
      </w:pPr>
      <w:r w:rsidRPr="00736F23">
        <w:t>be made within 30 days after the day on which the written notice of the reviewable decision was given to the provider, or within such further period as the Secretary</w:t>
      </w:r>
      <w:r w:rsidRPr="00736F23">
        <w:rPr>
          <w:sz w:val="20"/>
          <w:szCs w:val="20"/>
        </w:rPr>
        <w:t xml:space="preserve"> allows</w:t>
      </w:r>
      <w:r w:rsidRPr="00784226">
        <w:rPr>
          <w:color w:val="3333FF"/>
          <w:sz w:val="16"/>
          <w:szCs w:val="16"/>
        </w:rPr>
        <w:t xml:space="preserve"> </w:t>
      </w:r>
      <w:r w:rsidRPr="00DD2F7A">
        <w:rPr>
          <w:rStyle w:val="ReferenceChar"/>
        </w:rPr>
        <w:t>[Rules s 83(2)]</w:t>
      </w:r>
      <w:r w:rsidRPr="00736F23">
        <w:rPr>
          <w:sz w:val="20"/>
          <w:szCs w:val="20"/>
        </w:rPr>
        <w:t>.</w:t>
      </w:r>
    </w:p>
    <w:p w14:paraId="1942FBB3" w14:textId="77777777" w:rsidR="00983AE6" w:rsidRDefault="00983AE6" w:rsidP="00983AE6">
      <w:r w:rsidRPr="00736F23">
        <w:t>Details as to the form of the request for review will be made available in the notification of decision.</w:t>
      </w:r>
    </w:p>
    <w:p w14:paraId="39BEAE50" w14:textId="77777777" w:rsidR="00983AE6" w:rsidRPr="00A97EB3" w:rsidRDefault="00983AE6" w:rsidP="003943E5">
      <w:pPr>
        <w:pStyle w:val="Heading5"/>
      </w:pPr>
      <w:r w:rsidRPr="00A97EB3">
        <w:t>Use of a tool by providers</w:t>
      </w:r>
    </w:p>
    <w:p w14:paraId="6331F3F3" w14:textId="77777777" w:rsidR="00983AE6" w:rsidRPr="00736F23" w:rsidRDefault="00983AE6" w:rsidP="00983AE6">
      <w:r w:rsidRPr="00736F23">
        <w:t>Provider use of the tool comes with the responsibility of developing a procedure for recording the results of the assessments</w:t>
      </w:r>
      <w:r w:rsidRPr="00784226">
        <w:rPr>
          <w:color w:val="3333FF"/>
          <w:sz w:val="16"/>
          <w:szCs w:val="16"/>
        </w:rPr>
        <w:t xml:space="preserve"> </w:t>
      </w:r>
      <w:r w:rsidRPr="00DD2F7A">
        <w:rPr>
          <w:rStyle w:val="ReferenceChar"/>
        </w:rPr>
        <w:t>[Rules s 81]</w:t>
      </w:r>
      <w:r w:rsidRPr="00736F23">
        <w:t xml:space="preserve">. </w:t>
      </w:r>
    </w:p>
    <w:p w14:paraId="0E6896A9" w14:textId="77777777" w:rsidR="00983AE6" w:rsidRPr="00736F23" w:rsidRDefault="00983AE6" w:rsidP="00983AE6">
      <w:r w:rsidRPr="00736F23">
        <w:t xml:space="preserve">An approved course provider’s student entry procedure must specify that assessment results must be reported to the student as soon as practicable after the assessment and to the Secretary, if and when required </w:t>
      </w:r>
      <w:r w:rsidRPr="00DD2F7A">
        <w:rPr>
          <w:rStyle w:val="ReferenceChar"/>
        </w:rPr>
        <w:t>[Rules s 81]</w:t>
      </w:r>
      <w:r w:rsidRPr="00DD2F7A">
        <w:t>.</w:t>
      </w:r>
    </w:p>
    <w:p w14:paraId="5D687BA7" w14:textId="77777777" w:rsidR="00983AE6" w:rsidRPr="00736F23" w:rsidRDefault="00983AE6" w:rsidP="00983AE6">
      <w:pPr>
        <w:rPr>
          <w:color w:val="000000" w:themeColor="text1"/>
        </w:rPr>
      </w:pPr>
      <w:r w:rsidRPr="00736F23">
        <w:rPr>
          <w:color w:val="000000" w:themeColor="text1"/>
        </w:rPr>
        <w:t>The assessment process must be conducted with honesty and integrity</w:t>
      </w:r>
      <w:r>
        <w:rPr>
          <w:color w:val="000000" w:themeColor="text1"/>
        </w:rPr>
        <w:t xml:space="preserve"> </w:t>
      </w:r>
      <w:r w:rsidRPr="00DD2F7A">
        <w:rPr>
          <w:rStyle w:val="ReferenceChar"/>
        </w:rPr>
        <w:t>[Rules s 82]</w:t>
      </w:r>
      <w:r w:rsidRPr="00736F23">
        <w:rPr>
          <w:color w:val="000000" w:themeColor="text1"/>
        </w:rPr>
        <w:t xml:space="preserve">.  </w:t>
      </w:r>
    </w:p>
    <w:p w14:paraId="0C5CA098" w14:textId="77777777" w:rsidR="00983AE6" w:rsidRPr="00736F23" w:rsidRDefault="00983AE6" w:rsidP="00983AE6">
      <w:pPr>
        <w:rPr>
          <w:color w:val="000000" w:themeColor="text1"/>
        </w:rPr>
      </w:pPr>
      <w:r w:rsidRPr="00736F23">
        <w:rPr>
          <w:color w:val="000000" w:themeColor="text1"/>
        </w:rPr>
        <w:t xml:space="preserve">An approved course provider must retain documents obtained or assessments undertaken for the purposes of assessing a student’s academic suitability for at least five years </w:t>
      </w:r>
      <w:r w:rsidRPr="00DD2F7A">
        <w:rPr>
          <w:rStyle w:val="ReferenceChar"/>
        </w:rPr>
        <w:t>[Rules s 105]</w:t>
      </w:r>
      <w:r w:rsidRPr="00736F23">
        <w:rPr>
          <w:color w:val="000000" w:themeColor="text1"/>
        </w:rPr>
        <w:t>.</w:t>
      </w:r>
    </w:p>
    <w:p w14:paraId="5889A269" w14:textId="77777777" w:rsidR="00983AE6" w:rsidRPr="00736F23" w:rsidRDefault="00983AE6" w:rsidP="00983AE6">
      <w:r w:rsidRPr="00736F23">
        <w:lastRenderedPageBreak/>
        <w:t>As and when assessment tools are approved, details will be published on the department’s website</w:t>
      </w:r>
      <w:r>
        <w:t xml:space="preserve">. </w:t>
      </w:r>
      <w:r w:rsidRPr="00736F23">
        <w:t>Whenever feasible we will aim to approve an assessment tool not only for the applicant provider, but also for all providers.</w:t>
      </w:r>
    </w:p>
    <w:p w14:paraId="33288304" w14:textId="77777777" w:rsidR="00983AE6" w:rsidRPr="00736F23" w:rsidRDefault="00983AE6" w:rsidP="00983AE6">
      <w:r w:rsidRPr="00736F23">
        <w:t>The following are taken to have been approved:</w:t>
      </w:r>
    </w:p>
    <w:p w14:paraId="3437075F" w14:textId="77777777" w:rsidR="00983AE6" w:rsidRPr="00736F23" w:rsidRDefault="00983AE6" w:rsidP="00983AE6">
      <w:pPr>
        <w:pStyle w:val="ListBullet"/>
      </w:pPr>
      <w:r w:rsidRPr="00736F23">
        <w:t>Core Skills Profile for Adults as mentioned in subparagraph 38(1)(b)(i) of the Higher Education Support (VET) Guideline 2015</w:t>
      </w:r>
    </w:p>
    <w:p w14:paraId="3E2295F6" w14:textId="77777777" w:rsidR="00983AE6" w:rsidRDefault="00983AE6" w:rsidP="00983AE6">
      <w:pPr>
        <w:pStyle w:val="ListBullet"/>
      </w:pPr>
      <w:r w:rsidRPr="00736F23">
        <w:t>a tool for assessing a student’s competence in reading and numeracy that is approved under subsection 38(2) of the</w:t>
      </w:r>
      <w:r w:rsidRPr="00736F23">
        <w:rPr>
          <w:i/>
        </w:rPr>
        <w:t xml:space="preserve"> </w:t>
      </w:r>
      <w:r w:rsidRPr="00736F23">
        <w:t>Higher Education Support (VET) Guideline 2015</w:t>
      </w:r>
      <w:r>
        <w:t xml:space="preserve"> published at </w:t>
      </w:r>
      <w:hyperlink r:id="rId85" w:history="1">
        <w:r w:rsidRPr="00DD2F7A">
          <w:rPr>
            <w:rStyle w:val="Hyperlink"/>
          </w:rPr>
          <w:t>https://docs.education.gov.au/node/39981</w:t>
        </w:r>
      </w:hyperlink>
      <w:r>
        <w:t>.</w:t>
      </w:r>
    </w:p>
    <w:p w14:paraId="4FDFDF06" w14:textId="7149A85B" w:rsidR="00983AE6" w:rsidRPr="00DD2F7A" w:rsidRDefault="00983AE6" w:rsidP="00B97DD9">
      <w:pPr>
        <w:pStyle w:val="Heading3"/>
        <w:keepNext/>
        <w:keepLines/>
      </w:pPr>
      <w:bookmarkStart w:id="1343" w:name="_Toc477960244"/>
      <w:bookmarkStart w:id="1344" w:name="_Toc477960684"/>
      <w:bookmarkStart w:id="1345" w:name="_Toc477961123"/>
      <w:bookmarkStart w:id="1346" w:name="_Toc477961601"/>
      <w:bookmarkStart w:id="1347" w:name="_Toc477962087"/>
      <w:bookmarkStart w:id="1348" w:name="_Toc477962574"/>
      <w:bookmarkStart w:id="1349" w:name="_Toc477963060"/>
      <w:bookmarkStart w:id="1350" w:name="_Toc477963547"/>
      <w:bookmarkStart w:id="1351" w:name="_Toc478042739"/>
      <w:bookmarkStart w:id="1352" w:name="_Toc478366988"/>
      <w:bookmarkStart w:id="1353" w:name="_Toc479083602"/>
      <w:bookmarkStart w:id="1354" w:name="_Toc477960245"/>
      <w:bookmarkStart w:id="1355" w:name="_Toc477960685"/>
      <w:bookmarkStart w:id="1356" w:name="_Toc477961124"/>
      <w:bookmarkStart w:id="1357" w:name="_Toc477961602"/>
      <w:bookmarkStart w:id="1358" w:name="_Toc477962088"/>
      <w:bookmarkStart w:id="1359" w:name="_Toc477962575"/>
      <w:bookmarkStart w:id="1360" w:name="_Toc477963061"/>
      <w:bookmarkStart w:id="1361" w:name="_Toc477963548"/>
      <w:bookmarkStart w:id="1362" w:name="_Toc478042740"/>
      <w:bookmarkStart w:id="1363" w:name="_Toc478366989"/>
      <w:bookmarkStart w:id="1364" w:name="_Toc479083603"/>
      <w:bookmarkStart w:id="1365" w:name="_Toc477960246"/>
      <w:bookmarkStart w:id="1366" w:name="_Toc477960686"/>
      <w:bookmarkStart w:id="1367" w:name="_Toc477961125"/>
      <w:bookmarkStart w:id="1368" w:name="_Toc477961603"/>
      <w:bookmarkStart w:id="1369" w:name="_Toc477962089"/>
      <w:bookmarkStart w:id="1370" w:name="_Toc477962576"/>
      <w:bookmarkStart w:id="1371" w:name="_Toc477963062"/>
      <w:bookmarkStart w:id="1372" w:name="_Toc477963549"/>
      <w:bookmarkStart w:id="1373" w:name="_Toc478042741"/>
      <w:bookmarkStart w:id="1374" w:name="_Toc478366990"/>
      <w:bookmarkStart w:id="1375" w:name="_Toc479083604"/>
      <w:bookmarkStart w:id="1376" w:name="_Toc477960247"/>
      <w:bookmarkStart w:id="1377" w:name="_Toc477960687"/>
      <w:bookmarkStart w:id="1378" w:name="_Toc477961126"/>
      <w:bookmarkStart w:id="1379" w:name="_Toc477961604"/>
      <w:bookmarkStart w:id="1380" w:name="_Toc477962090"/>
      <w:bookmarkStart w:id="1381" w:name="_Toc477962577"/>
      <w:bookmarkStart w:id="1382" w:name="_Toc477963063"/>
      <w:bookmarkStart w:id="1383" w:name="_Toc477963550"/>
      <w:bookmarkStart w:id="1384" w:name="_Toc478042742"/>
      <w:bookmarkStart w:id="1385" w:name="_Toc478366991"/>
      <w:bookmarkStart w:id="1386" w:name="_Toc479083605"/>
      <w:bookmarkStart w:id="1387" w:name="_Toc477960248"/>
      <w:bookmarkStart w:id="1388" w:name="_Toc477960688"/>
      <w:bookmarkStart w:id="1389" w:name="_Toc477961127"/>
      <w:bookmarkStart w:id="1390" w:name="_Toc477961605"/>
      <w:bookmarkStart w:id="1391" w:name="_Toc477962091"/>
      <w:bookmarkStart w:id="1392" w:name="_Toc477962578"/>
      <w:bookmarkStart w:id="1393" w:name="_Toc477963064"/>
      <w:bookmarkStart w:id="1394" w:name="_Toc477963551"/>
      <w:bookmarkStart w:id="1395" w:name="_Toc478042743"/>
      <w:bookmarkStart w:id="1396" w:name="_Toc478366992"/>
      <w:bookmarkStart w:id="1397" w:name="_Toc479083606"/>
      <w:bookmarkStart w:id="1398" w:name="_Toc477960249"/>
      <w:bookmarkStart w:id="1399" w:name="_Toc477960689"/>
      <w:bookmarkStart w:id="1400" w:name="_Toc477961128"/>
      <w:bookmarkStart w:id="1401" w:name="_Toc477961606"/>
      <w:bookmarkStart w:id="1402" w:name="_Toc477962092"/>
      <w:bookmarkStart w:id="1403" w:name="_Toc477962579"/>
      <w:bookmarkStart w:id="1404" w:name="_Toc477963065"/>
      <w:bookmarkStart w:id="1405" w:name="_Toc477963552"/>
      <w:bookmarkStart w:id="1406" w:name="_Toc478042744"/>
      <w:bookmarkStart w:id="1407" w:name="_Toc478366993"/>
      <w:bookmarkStart w:id="1408" w:name="_Toc479083607"/>
      <w:bookmarkStart w:id="1409" w:name="_Toc477960250"/>
      <w:bookmarkStart w:id="1410" w:name="_Toc477960690"/>
      <w:bookmarkStart w:id="1411" w:name="_Toc477961129"/>
      <w:bookmarkStart w:id="1412" w:name="_Toc477961607"/>
      <w:bookmarkStart w:id="1413" w:name="_Toc477962093"/>
      <w:bookmarkStart w:id="1414" w:name="_Toc477962580"/>
      <w:bookmarkStart w:id="1415" w:name="_Toc477963066"/>
      <w:bookmarkStart w:id="1416" w:name="_Toc477963553"/>
      <w:bookmarkStart w:id="1417" w:name="_Toc478042745"/>
      <w:bookmarkStart w:id="1418" w:name="_Toc478366994"/>
      <w:bookmarkStart w:id="1419" w:name="_Toc479083608"/>
      <w:bookmarkStart w:id="1420" w:name="_Toc458674403"/>
      <w:bookmarkStart w:id="1421" w:name="_Toc459187334"/>
      <w:bookmarkStart w:id="1422" w:name="_Toc459210159"/>
      <w:bookmarkStart w:id="1423" w:name="_Toc459639483"/>
      <w:bookmarkStart w:id="1424" w:name="_Toc459795818"/>
      <w:bookmarkStart w:id="1425" w:name="_Toc459977738"/>
      <w:bookmarkStart w:id="1426" w:name="_Processes_and_procedures"/>
      <w:bookmarkStart w:id="1427" w:name="_Toc471374408"/>
      <w:bookmarkStart w:id="1428" w:name="_Toc483222872"/>
      <w:bookmarkStart w:id="1429" w:name="_Toc501621217"/>
      <w:bookmarkEnd w:id="1324"/>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t>4.8.</w:t>
      </w:r>
      <w:r w:rsidR="00A73C43">
        <w:t>4</w:t>
      </w:r>
      <w:r w:rsidR="00C36EDC">
        <w:t xml:space="preserve">   </w:t>
      </w:r>
      <w:r w:rsidRPr="005131A5">
        <w:t>Processes and procedures for enrolment in courses</w:t>
      </w:r>
      <w:bookmarkEnd w:id="1427"/>
      <w:bookmarkEnd w:id="1428"/>
      <w:bookmarkEnd w:id="1429"/>
    </w:p>
    <w:p w14:paraId="5A7BCF28" w14:textId="77777777" w:rsidR="00983AE6" w:rsidRPr="00784226" w:rsidRDefault="00983AE6" w:rsidP="00983AE6">
      <w:pPr>
        <w:rPr>
          <w:color w:val="3333FF"/>
          <w:sz w:val="16"/>
          <w:szCs w:val="16"/>
        </w:rPr>
      </w:pPr>
      <w:r w:rsidRPr="00736F23">
        <w:t xml:space="preserve">An approved </w:t>
      </w:r>
      <w:r>
        <w:t xml:space="preserve">course </w:t>
      </w:r>
      <w:r w:rsidRPr="00736F23">
        <w:t>provider’s processes and procedures must provide for equal and fair treatment of all students seeking to enrol in an approved course</w:t>
      </w:r>
      <w:r w:rsidRPr="00736F23">
        <w:rPr>
          <w:spacing w:val="-1"/>
        </w:rPr>
        <w:t xml:space="preserve"> </w:t>
      </w:r>
      <w:r w:rsidRPr="00DD2F7A">
        <w:rPr>
          <w:rStyle w:val="ReferenceChar"/>
        </w:rPr>
        <w:t>[Rules s 84(1)]</w:t>
      </w:r>
      <w:r w:rsidRPr="00E6710C">
        <w:t>.</w:t>
      </w:r>
    </w:p>
    <w:p w14:paraId="5AC71389" w14:textId="77777777" w:rsidR="00983AE6" w:rsidRPr="00736F23" w:rsidRDefault="00983AE6" w:rsidP="00533BA3">
      <w:pPr>
        <w:spacing w:after="0"/>
        <w:rPr>
          <w:color w:val="0070C0"/>
        </w:rPr>
      </w:pPr>
      <w:r w:rsidRPr="00736F23">
        <w:t xml:space="preserve">An approved </w:t>
      </w:r>
      <w:r>
        <w:t xml:space="preserve">course </w:t>
      </w:r>
      <w:r w:rsidRPr="00736F23">
        <w:t>provider must have open, fair and transparent procedures that the provider reasonably believes are based on merit for making decisions about:</w:t>
      </w:r>
    </w:p>
    <w:p w14:paraId="22455F17" w14:textId="77777777" w:rsidR="00983AE6" w:rsidRPr="00736F23" w:rsidRDefault="00983AE6" w:rsidP="00983AE6">
      <w:pPr>
        <w:pStyle w:val="ListBullet"/>
      </w:pPr>
      <w:r w:rsidRPr="00736F23">
        <w:t>the selection of students seeking to enrol as VET students in VET units of study with the provider and</w:t>
      </w:r>
    </w:p>
    <w:p w14:paraId="5A5DB38B" w14:textId="77777777" w:rsidR="00983AE6" w:rsidRPr="00736F23" w:rsidRDefault="00983AE6" w:rsidP="00983AE6">
      <w:pPr>
        <w:pStyle w:val="ListBullet"/>
      </w:pPr>
      <w:r w:rsidRPr="00736F23">
        <w:t xml:space="preserve">the treatment of such students </w:t>
      </w:r>
      <w:r w:rsidRPr="00DD2F7A">
        <w:rPr>
          <w:rStyle w:val="ReferenceChar"/>
        </w:rPr>
        <w:t>[Rules s 84(2)]</w:t>
      </w:r>
      <w:r w:rsidRPr="00736F23">
        <w:t>.</w:t>
      </w:r>
    </w:p>
    <w:p w14:paraId="57BDD28E" w14:textId="7D21A592" w:rsidR="00983AE6" w:rsidRPr="00736F23" w:rsidRDefault="00983AE6" w:rsidP="008E04FA">
      <w:pPr>
        <w:spacing w:after="0"/>
      </w:pPr>
      <w:r w:rsidRPr="00736F23">
        <w:t>However, this does not prevent a provider from taking into account that a student may be enrolled in an approved course in accordance with an arrangement that</w:t>
      </w:r>
      <w:r w:rsidR="00533BA3">
        <w:t>:</w:t>
      </w:r>
    </w:p>
    <w:p w14:paraId="2843837B" w14:textId="77777777" w:rsidR="00983AE6" w:rsidRPr="00736F23" w:rsidRDefault="00983AE6" w:rsidP="00983AE6">
      <w:pPr>
        <w:pStyle w:val="ListBullet"/>
      </w:pPr>
      <w:r w:rsidRPr="00736F23">
        <w:t>was entered into between the provider and an employer or industry body and</w:t>
      </w:r>
    </w:p>
    <w:p w14:paraId="4117BCC2" w14:textId="77777777" w:rsidR="00983AE6" w:rsidRDefault="00983AE6" w:rsidP="00983AE6">
      <w:pPr>
        <w:pStyle w:val="ListBullet"/>
        <w:rPr>
          <w:sz w:val="20"/>
          <w:szCs w:val="20"/>
        </w:rPr>
      </w:pPr>
      <w:r w:rsidRPr="00736F23">
        <w:t xml:space="preserve">limits or restricts enrolments in some or all of the places in the course </w:t>
      </w:r>
      <w:r w:rsidRPr="00DD2F7A">
        <w:rPr>
          <w:rStyle w:val="ReferenceChar"/>
        </w:rPr>
        <w:t>[Rules s 84(3)]</w:t>
      </w:r>
      <w:r w:rsidRPr="00736F23">
        <w:rPr>
          <w:sz w:val="20"/>
          <w:szCs w:val="20"/>
        </w:rPr>
        <w:t>.</w:t>
      </w:r>
    </w:p>
    <w:p w14:paraId="14F30DD2" w14:textId="11F5D08F" w:rsidR="00983AE6" w:rsidRPr="00764693" w:rsidRDefault="00983AE6" w:rsidP="00983AE6">
      <w:pPr>
        <w:pStyle w:val="Heading3"/>
      </w:pPr>
      <w:bookmarkStart w:id="1430" w:name="_Toc477960257"/>
      <w:bookmarkStart w:id="1431" w:name="_Toc477960697"/>
      <w:bookmarkStart w:id="1432" w:name="_Toc477961136"/>
      <w:bookmarkStart w:id="1433" w:name="_Toc477961614"/>
      <w:bookmarkStart w:id="1434" w:name="_Toc477962100"/>
      <w:bookmarkStart w:id="1435" w:name="_Toc477962587"/>
      <w:bookmarkStart w:id="1436" w:name="_Toc477963073"/>
      <w:bookmarkStart w:id="1437" w:name="_Toc477963560"/>
      <w:bookmarkStart w:id="1438" w:name="_Toc478042752"/>
      <w:bookmarkStart w:id="1439" w:name="_Toc478367001"/>
      <w:bookmarkStart w:id="1440" w:name="_Toc479083615"/>
      <w:bookmarkStart w:id="1441" w:name="_4.8.5__"/>
      <w:bookmarkStart w:id="1442" w:name="_Toc483222873"/>
      <w:bookmarkStart w:id="1443" w:name="_Toc501621218"/>
      <w:bookmarkEnd w:id="1430"/>
      <w:bookmarkEnd w:id="1431"/>
      <w:bookmarkEnd w:id="1432"/>
      <w:bookmarkEnd w:id="1433"/>
      <w:bookmarkEnd w:id="1434"/>
      <w:bookmarkEnd w:id="1435"/>
      <w:bookmarkEnd w:id="1436"/>
      <w:bookmarkEnd w:id="1437"/>
      <w:bookmarkEnd w:id="1438"/>
      <w:bookmarkEnd w:id="1439"/>
      <w:bookmarkEnd w:id="1440"/>
      <w:bookmarkEnd w:id="1441"/>
      <w:r w:rsidRPr="00764693">
        <w:t>4.8.</w:t>
      </w:r>
      <w:r w:rsidR="00A73C43" w:rsidRPr="00764693">
        <w:t>5</w:t>
      </w:r>
      <w:r w:rsidR="00C36EDC" w:rsidRPr="00764693">
        <w:t xml:space="preserve">   </w:t>
      </w:r>
      <w:r w:rsidRPr="00764693">
        <w:t>P</w:t>
      </w:r>
      <w:bookmarkStart w:id="1444" w:name="_Processes_and_procedures_1"/>
      <w:bookmarkStart w:id="1445" w:name="_rocesses_and_procedures"/>
      <w:bookmarkStart w:id="1446" w:name="_Toc471374410"/>
      <w:bookmarkEnd w:id="1444"/>
      <w:bookmarkEnd w:id="1445"/>
      <w:r w:rsidRPr="00764693">
        <w:t>rocesses and procedures relating to loan applications</w:t>
      </w:r>
      <w:bookmarkEnd w:id="1442"/>
      <w:bookmarkEnd w:id="1443"/>
      <w:r w:rsidRPr="00764693">
        <w:t xml:space="preserve"> </w:t>
      </w:r>
      <w:bookmarkEnd w:id="1446"/>
    </w:p>
    <w:p w14:paraId="4B65EB22" w14:textId="0AB8FBBB" w:rsidR="004A1E69" w:rsidRPr="00764693" w:rsidRDefault="00983AE6" w:rsidP="004A1E69">
      <w:r w:rsidRPr="00764693">
        <w:t xml:space="preserve">The Government electronic Commonwealth Assistance Form (eCAF) was released on 1 January 2017. </w:t>
      </w:r>
      <w:r w:rsidR="00E9457E" w:rsidRPr="00764693">
        <w:t xml:space="preserve">In accordance with paragraph 17(2)(a) of the Act, all approved course providers are required to use the Government eCAF as the student application form for a VET Student Loan from 1 July 2017. </w:t>
      </w:r>
      <w:r w:rsidRPr="00764693">
        <w:t>Approved course providers require access to the eCAF system</w:t>
      </w:r>
      <w:r w:rsidR="00E9457E" w:rsidRPr="00764693">
        <w:t xml:space="preserve">. </w:t>
      </w:r>
    </w:p>
    <w:p w14:paraId="1FFA59E2" w14:textId="212EF5F4" w:rsidR="004A1E69" w:rsidRPr="0028499D" w:rsidRDefault="004A1E69" w:rsidP="004A1E69">
      <w:pPr>
        <w:rPr>
          <w:rStyle w:val="Strong"/>
        </w:rPr>
      </w:pPr>
      <w:r w:rsidRPr="00764693">
        <w:rPr>
          <w:rStyle w:val="Strong"/>
        </w:rPr>
        <w:t>Students must s</w:t>
      </w:r>
      <w:r w:rsidRPr="00D96C7F">
        <w:rPr>
          <w:rStyle w:val="Strong"/>
        </w:rPr>
        <w:t>ubmit the eCAF prior to the first census day for whic</w:t>
      </w:r>
      <w:r w:rsidRPr="00764693">
        <w:rPr>
          <w:rStyle w:val="Strong"/>
        </w:rPr>
        <w:t xml:space="preserve">h they wish to access a loan. </w:t>
      </w:r>
      <w:r w:rsidRPr="00764693">
        <w:rPr>
          <w:rStyle w:val="ReferenceChar"/>
        </w:rPr>
        <w:t>[</w:t>
      </w:r>
      <w:r w:rsidRPr="00764693">
        <w:rPr>
          <w:rStyle w:val="ReferenceChar"/>
          <w:bCs/>
        </w:rPr>
        <w:t>Act para</w:t>
      </w:r>
      <w:r w:rsidR="003208BF" w:rsidRPr="00764693">
        <w:rPr>
          <w:rStyle w:val="ReferenceChar"/>
          <w:bCs/>
        </w:rPr>
        <w:t>graph</w:t>
      </w:r>
      <w:r w:rsidRPr="00764693">
        <w:rPr>
          <w:rStyle w:val="ReferenceChar"/>
          <w:bCs/>
        </w:rPr>
        <w:t xml:space="preserve"> 17(2)(c); Rules s 10(2)]</w:t>
      </w:r>
      <w:r w:rsidRPr="00764693">
        <w:rPr>
          <w:rStyle w:val="Strong"/>
        </w:rPr>
        <w:t>.</w:t>
      </w:r>
    </w:p>
    <w:p w14:paraId="219E5D18" w14:textId="081644C6" w:rsidR="003E06CD" w:rsidRPr="0016506E" w:rsidRDefault="003E06CD" w:rsidP="003E06CD">
      <w:r w:rsidRPr="0016506E">
        <w:t>Note, the eCAF system meets web accessibility requirements – and is web accessible for use with a screen reader. In exceptional circumstances only, and on a case-by-case basis on individual application, providers may seek approval to use the paper form (CAF). See ‘</w:t>
      </w:r>
      <w:r w:rsidRPr="0016506E">
        <w:rPr>
          <w:b/>
        </w:rPr>
        <w:t>Paper CAFs</w:t>
      </w:r>
      <w:r w:rsidRPr="0016506E">
        <w:t>’ section below for more information.</w:t>
      </w:r>
    </w:p>
    <w:p w14:paraId="49DCE581" w14:textId="77777777" w:rsidR="00983AE6" w:rsidRPr="00764693" w:rsidRDefault="00983AE6" w:rsidP="003943E5">
      <w:pPr>
        <w:pStyle w:val="Heading5"/>
      </w:pPr>
      <w:bookmarkStart w:id="1447" w:name="_Using_the_eCAF"/>
      <w:bookmarkStart w:id="1448" w:name="_Toc481505224"/>
      <w:bookmarkStart w:id="1449" w:name="_Toc483209545"/>
      <w:bookmarkStart w:id="1450" w:name="_Toc483222874"/>
      <w:bookmarkEnd w:id="1447"/>
      <w:r w:rsidRPr="00764693">
        <w:t>Using the eCAF</w:t>
      </w:r>
      <w:bookmarkEnd w:id="1448"/>
      <w:bookmarkEnd w:id="1449"/>
      <w:bookmarkEnd w:id="1450"/>
    </w:p>
    <w:p w14:paraId="721A4CC9" w14:textId="50F30B6C" w:rsidR="00730428" w:rsidRPr="00B97DD9" w:rsidRDefault="00730428" w:rsidP="00B97DD9">
      <w:r w:rsidRPr="00764693">
        <w:t xml:space="preserve">To access the eCAF system, providers must complete and return to the department the </w:t>
      </w:r>
      <w:r w:rsidRPr="00764693">
        <w:rPr>
          <w:b/>
          <w:bCs/>
        </w:rPr>
        <w:t>eCAF System</w:t>
      </w:r>
      <w:r w:rsidR="00B97DD9">
        <w:rPr>
          <w:b/>
          <w:bCs/>
        </w:rPr>
        <w:t xml:space="preserve"> </w:t>
      </w:r>
      <w:r w:rsidRPr="00764693">
        <w:rPr>
          <w:b/>
          <w:bCs/>
        </w:rPr>
        <w:t xml:space="preserve">Access Request </w:t>
      </w:r>
      <w:r w:rsidRPr="00764693">
        <w:t xml:space="preserve">form for each individual officer requesting access to the system, and/or the </w:t>
      </w:r>
      <w:r w:rsidRPr="00764693">
        <w:rPr>
          <w:b/>
          <w:bCs/>
        </w:rPr>
        <w:t>eCAF API</w:t>
      </w:r>
      <w:r w:rsidR="00B97DD9">
        <w:rPr>
          <w:b/>
          <w:bCs/>
        </w:rPr>
        <w:t xml:space="preserve"> </w:t>
      </w:r>
      <w:r w:rsidRPr="00764693">
        <w:rPr>
          <w:b/>
          <w:bCs/>
        </w:rPr>
        <w:t xml:space="preserve">system access request </w:t>
      </w:r>
      <w:r w:rsidRPr="00764693">
        <w:t>form for a provider service account. The completed forms must be sent to</w:t>
      </w:r>
      <w:r w:rsidR="00B97DD9">
        <w:t xml:space="preserve"> </w:t>
      </w:r>
      <w:hyperlink r:id="rId86" w:history="1">
        <w:r w:rsidRPr="00764693">
          <w:rPr>
            <w:b/>
            <w:color w:val="1F497D"/>
            <w:u w:val="single"/>
          </w:rPr>
          <w:t>VSLDataandIT@education.gov.au</w:t>
        </w:r>
      </w:hyperlink>
      <w:r w:rsidR="007865E7" w:rsidRPr="00764693">
        <w:rPr>
          <w:color w:val="1F497D"/>
        </w:rPr>
        <w:t>.</w:t>
      </w:r>
    </w:p>
    <w:p w14:paraId="1C19BB0E" w14:textId="0807F486" w:rsidR="003A657B" w:rsidRPr="00764693" w:rsidRDefault="00983AE6" w:rsidP="00983AE6">
      <w:pPr>
        <w:rPr>
          <w:rStyle w:val="Strong"/>
        </w:rPr>
      </w:pPr>
      <w:r w:rsidRPr="00764693">
        <w:t xml:space="preserve">On accessing the eCAF system, providers can find answers to frequently asked questions under the ‘Help’ tab. The department will update these answers regularly, and for this reason providers should check these periodically. </w:t>
      </w:r>
      <w:r w:rsidRPr="00764693">
        <w:rPr>
          <w:rStyle w:val="Strong"/>
        </w:rPr>
        <w:t>NOTE</w:t>
      </w:r>
      <w:r w:rsidR="003A657B" w:rsidRPr="00764693">
        <w:rPr>
          <w:rStyle w:val="Strong"/>
        </w:rPr>
        <w:t>S</w:t>
      </w:r>
    </w:p>
    <w:p w14:paraId="2229C8AD" w14:textId="77777777" w:rsidR="003A657B" w:rsidRPr="00764693" w:rsidRDefault="003A657B" w:rsidP="00983AE6">
      <w:r w:rsidRPr="00764693">
        <w:rPr>
          <w:rStyle w:val="Strong"/>
          <w:b w:val="0"/>
        </w:rPr>
        <w:t>1.</w:t>
      </w:r>
      <w:r w:rsidRPr="00764693">
        <w:rPr>
          <w:rStyle w:val="Strong"/>
        </w:rPr>
        <w:t xml:space="preserve"> </w:t>
      </w:r>
      <w:r w:rsidRPr="00764693">
        <w:t>P</w:t>
      </w:r>
      <w:r w:rsidR="00983AE6" w:rsidRPr="00764693">
        <w:t>roviders must supply accurate student enrolment information in the eCAF. If there are inaccuracies in this information, students will be directed to their respective providers for correction.</w:t>
      </w:r>
    </w:p>
    <w:p w14:paraId="38045E5A" w14:textId="77777777" w:rsidR="003A657B" w:rsidRPr="00764693" w:rsidRDefault="003A657B" w:rsidP="00983AE6">
      <w:pPr>
        <w:rPr>
          <w:rStyle w:val="Strong"/>
          <w:b w:val="0"/>
        </w:rPr>
      </w:pPr>
      <w:r w:rsidRPr="00764693">
        <w:rPr>
          <w:rStyle w:val="Strong"/>
          <w:b w:val="0"/>
        </w:rPr>
        <w:lastRenderedPageBreak/>
        <w:t>2.  Providers cannot delete an eCAF once it has been submitted by a student. However, a provider may be able to delete an eCAF that has not been submitted by the student, if the student does not wish to access a VET Student Loan.</w:t>
      </w:r>
    </w:p>
    <w:p w14:paraId="1AA483CE" w14:textId="77777777" w:rsidR="004A1E69" w:rsidRPr="00764693" w:rsidRDefault="004A1E69" w:rsidP="00B83ABA">
      <w:pPr>
        <w:pStyle w:val="Heading5"/>
      </w:pPr>
      <w:bookmarkStart w:id="1451" w:name="_Paper_CAFs"/>
      <w:bookmarkEnd w:id="1451"/>
      <w:r w:rsidRPr="00764693">
        <w:t>Paper CAFs</w:t>
      </w:r>
    </w:p>
    <w:p w14:paraId="346138E6" w14:textId="5ECADBF3" w:rsidR="004A1E69" w:rsidRPr="00764693" w:rsidRDefault="004A1E69" w:rsidP="004A1E69">
      <w:r w:rsidRPr="00764693">
        <w:t>Should there be an exceptional circumstance of the student warranting use of a paper form, providers are required to seek, in advance, case by case approval to use the paper form outlining the relevant circumstances</w:t>
      </w:r>
      <w:r w:rsidR="003E06CD" w:rsidRPr="0028499D">
        <w:t xml:space="preserve"> applicable to the student</w:t>
      </w:r>
      <w:r w:rsidRPr="00764693">
        <w:t>.  Approval outlining the exceptional circumstances must be sought for each individual student, well in advance of census days.</w:t>
      </w:r>
    </w:p>
    <w:p w14:paraId="79383AD4" w14:textId="77777777" w:rsidR="003E06CD" w:rsidRPr="00764693" w:rsidRDefault="004A1E69" w:rsidP="004A1E69">
      <w:r w:rsidRPr="00764693">
        <w:t xml:space="preserve">Exceptional circumstances are limited to disability that prevents screen or internet use, cultural or religious restrictions that preclude use of technology, detention in correctional facilities where internet access is not permitted and remote locality where internet is not available. </w:t>
      </w:r>
    </w:p>
    <w:p w14:paraId="10D098D6" w14:textId="6AF45BF1" w:rsidR="004A1E69" w:rsidRPr="00764693" w:rsidRDefault="003E06CD" w:rsidP="004A1E69">
      <w:r w:rsidRPr="00764693">
        <w:t>An up to date version of the paper form for the student’s completion will be forwarded on each occasion if approval is granted. The form must be completed by students prior to the census day from which they wish the loan to apply. Special reporting requirements apply if approved, and these are detailed to the provider at the time of the individual approval.</w:t>
      </w:r>
    </w:p>
    <w:p w14:paraId="2D8415F2" w14:textId="77777777" w:rsidR="004A1E69" w:rsidRDefault="004A1E69" w:rsidP="004A1E69">
      <w:r w:rsidRPr="00764693">
        <w:rPr>
          <w:b/>
        </w:rPr>
        <w:t>Note: technical system issues do not constitute exceptional circumstances</w:t>
      </w:r>
      <w:r w:rsidRPr="00764693">
        <w:t>.</w:t>
      </w:r>
      <w:r>
        <w:t xml:space="preserve"> </w:t>
      </w:r>
    </w:p>
    <w:p w14:paraId="2FF535C3" w14:textId="70AAAA53" w:rsidR="00983AE6" w:rsidRPr="00736F23" w:rsidRDefault="00983AE6" w:rsidP="00983AE6">
      <w:pPr>
        <w:pStyle w:val="Heading3"/>
      </w:pPr>
      <w:bookmarkStart w:id="1452" w:name="_Toc483222875"/>
      <w:bookmarkStart w:id="1453" w:name="_Toc501621219"/>
      <w:r>
        <w:t>4.8.</w:t>
      </w:r>
      <w:r w:rsidR="003208BF">
        <w:t>6</w:t>
      </w:r>
      <w:r w:rsidR="00C36EDC">
        <w:t xml:space="preserve">   </w:t>
      </w:r>
      <w:r w:rsidRPr="00736F23">
        <w:t>Electronic communications between student</w:t>
      </w:r>
      <w:r>
        <w:t>s</w:t>
      </w:r>
      <w:r w:rsidRPr="00736F23">
        <w:t xml:space="preserve"> and </w:t>
      </w:r>
      <w:r>
        <w:t>the Commonwealth</w:t>
      </w:r>
      <w:bookmarkEnd w:id="1452"/>
      <w:bookmarkEnd w:id="1453"/>
    </w:p>
    <w:p w14:paraId="6D1C509B" w14:textId="77777777" w:rsidR="00983AE6" w:rsidRDefault="00983AE6" w:rsidP="00983AE6">
      <w:pPr>
        <w:rPr>
          <w:rFonts w:ascii="Times New Roman" w:eastAsia="Times New Roman" w:hAnsi="Times New Roman"/>
          <w:szCs w:val="20"/>
        </w:rPr>
      </w:pPr>
      <w:r w:rsidRPr="005359E1">
        <w:t xml:space="preserve">The Secretary </w:t>
      </w:r>
      <w:r>
        <w:t xml:space="preserve">will </w:t>
      </w:r>
      <w:r w:rsidRPr="005359E1">
        <w:t xml:space="preserve">not treat an application by a student for a VET student loan made by electronic communication as having been signed by the student if the communication does not </w:t>
      </w:r>
      <w:r>
        <w:t>contain</w:t>
      </w:r>
      <w:r w:rsidRPr="005359E1">
        <w:t>:</w:t>
      </w:r>
    </w:p>
    <w:p w14:paraId="724D312F" w14:textId="02719D8B" w:rsidR="00983AE6" w:rsidRPr="005359E1" w:rsidRDefault="00983AE6" w:rsidP="00983AE6">
      <w:pPr>
        <w:pStyle w:val="ListBullet"/>
      </w:pPr>
      <w:r w:rsidRPr="005359E1">
        <w:t>the student’s student identifier; and</w:t>
      </w:r>
    </w:p>
    <w:p w14:paraId="1664C10D" w14:textId="77777777" w:rsidR="00983AE6" w:rsidRPr="005359E1" w:rsidRDefault="00983AE6" w:rsidP="00983AE6">
      <w:pPr>
        <w:pStyle w:val="ListBullet"/>
      </w:pPr>
      <w:r w:rsidRPr="005359E1">
        <w:t>the student’s tax file number (or certificate from the Commissioner stating that the student has applied for a tax file number); and</w:t>
      </w:r>
    </w:p>
    <w:p w14:paraId="324ED5A2" w14:textId="77777777" w:rsidR="00983AE6" w:rsidRPr="005359E1" w:rsidRDefault="00983AE6" w:rsidP="00983AE6">
      <w:pPr>
        <w:pStyle w:val="ListBullet"/>
      </w:pPr>
      <w:r w:rsidRPr="005359E1">
        <w:t>an acknowledgement by the student that he or she has read and understood the application; and</w:t>
      </w:r>
    </w:p>
    <w:p w14:paraId="157F3806" w14:textId="1B4C56E1" w:rsidR="00D43530" w:rsidRPr="00503970" w:rsidRDefault="00983AE6" w:rsidP="0028499D">
      <w:pPr>
        <w:pStyle w:val="ListBullet"/>
        <w:spacing w:line="276" w:lineRule="auto"/>
        <w:rPr>
          <w:rFonts w:ascii="Calibri" w:eastAsiaTheme="majorEastAsia" w:hAnsi="Calibri" w:cstheme="majorBidi"/>
          <w:b/>
          <w:bCs/>
          <w:i/>
        </w:rPr>
      </w:pPr>
      <w:r w:rsidRPr="005359E1">
        <w:t>a confirmation</w:t>
      </w:r>
      <w:r w:rsidRPr="00283E59">
        <w:t xml:space="preserve"> by the student of the accuracy of the</w:t>
      </w:r>
      <w:r>
        <w:t xml:space="preserve"> information in the application </w:t>
      </w:r>
      <w:r w:rsidRPr="00800581">
        <w:rPr>
          <w:rStyle w:val="ReferenceChar"/>
        </w:rPr>
        <w:t>[Rules s 152]</w:t>
      </w:r>
      <w:r>
        <w:t>.</w:t>
      </w:r>
      <w:bookmarkStart w:id="1454" w:name="_Toc481505226"/>
      <w:bookmarkStart w:id="1455" w:name="_Toc483209547"/>
      <w:bookmarkStart w:id="1456" w:name="_Toc483222876"/>
    </w:p>
    <w:p w14:paraId="4C94F57A" w14:textId="77BF6705" w:rsidR="00983AE6" w:rsidRPr="009639E1" w:rsidRDefault="00983AE6" w:rsidP="004F6CCE">
      <w:pPr>
        <w:pStyle w:val="Heading5"/>
      </w:pPr>
      <w:r w:rsidRPr="009639E1">
        <w:t>Collection and verification of certain information</w:t>
      </w:r>
      <w:bookmarkEnd w:id="1454"/>
      <w:bookmarkEnd w:id="1455"/>
      <w:bookmarkEnd w:id="1456"/>
    </w:p>
    <w:p w14:paraId="099A251C" w14:textId="77777777" w:rsidR="00983AE6" w:rsidRPr="008B48B8" w:rsidRDefault="00983AE6" w:rsidP="00983AE6">
      <w:r w:rsidRPr="008B48B8">
        <w:t xml:space="preserve">The </w:t>
      </w:r>
      <w:r>
        <w:t xml:space="preserve">provider’s </w:t>
      </w:r>
      <w:r w:rsidRPr="008B48B8">
        <w:t>processes and procedures must require the collection and verification of the following information and documents relating to a student applying for a student loan</w:t>
      </w:r>
      <w:r>
        <w:t xml:space="preserve"> including:</w:t>
      </w:r>
      <w:r w:rsidRPr="008B48B8">
        <w:t xml:space="preserve"> </w:t>
      </w:r>
    </w:p>
    <w:p w14:paraId="798E6A33" w14:textId="77777777" w:rsidR="00983AE6" w:rsidRPr="008B48B8" w:rsidRDefault="00983AE6" w:rsidP="00983AE6">
      <w:pPr>
        <w:pStyle w:val="ListBullet"/>
      </w:pPr>
      <w:r w:rsidRPr="008B48B8">
        <w:t>information about the student’s identity and date of birth</w:t>
      </w:r>
    </w:p>
    <w:p w14:paraId="678D2E38" w14:textId="77777777" w:rsidR="00983AE6" w:rsidRPr="008B48B8" w:rsidRDefault="00983AE6" w:rsidP="00983AE6">
      <w:pPr>
        <w:pStyle w:val="ListBullet"/>
        <w:spacing w:after="0"/>
        <w:rPr>
          <w:spacing w:val="-1"/>
        </w:rPr>
      </w:pPr>
      <w:r w:rsidRPr="008B48B8">
        <w:t>if</w:t>
      </w:r>
      <w:r w:rsidRPr="008B48B8">
        <w:rPr>
          <w:spacing w:val="-1"/>
        </w:rPr>
        <w:t xml:space="preserve"> the </w:t>
      </w:r>
      <w:hyperlink w:anchor="student_is_under_18" w:history="1">
        <w:r w:rsidRPr="00800581">
          <w:rPr>
            <w:rStyle w:val="Hyperlink"/>
          </w:rPr>
          <w:t>student is under 18</w:t>
        </w:r>
      </w:hyperlink>
      <w:r w:rsidRPr="008B48B8">
        <w:rPr>
          <w:spacing w:val="-1"/>
        </w:rPr>
        <w:t>, information that:</w:t>
      </w:r>
    </w:p>
    <w:p w14:paraId="2E3318C0" w14:textId="77777777" w:rsidR="00983AE6" w:rsidRPr="008B48B8" w:rsidRDefault="00983AE6" w:rsidP="00A0727A">
      <w:pPr>
        <w:pStyle w:val="ListBullet2"/>
        <w:numPr>
          <w:ilvl w:val="1"/>
          <w:numId w:val="39"/>
        </w:numPr>
      </w:pPr>
      <w:r w:rsidRPr="008B48B8">
        <w:t>one of the signatories to the application is a responsible parent of the student</w:t>
      </w:r>
      <w:r>
        <w:t xml:space="preserve"> (by submission of the signed parental consent form)</w:t>
      </w:r>
      <w:r w:rsidRPr="008B48B8">
        <w:t xml:space="preserve"> or</w:t>
      </w:r>
    </w:p>
    <w:p w14:paraId="794941A2" w14:textId="19D3C9F6" w:rsidR="00983AE6" w:rsidRPr="008B48B8" w:rsidRDefault="00983AE6" w:rsidP="00A0727A">
      <w:pPr>
        <w:pStyle w:val="ListBullet2"/>
        <w:numPr>
          <w:ilvl w:val="1"/>
          <w:numId w:val="39"/>
        </w:numPr>
        <w:spacing w:after="0"/>
      </w:pPr>
      <w:r w:rsidRPr="008B48B8">
        <w:t xml:space="preserve">the student has received youth allowance on the basis that the student is independent within the meaning of Part 2.11 of the </w:t>
      </w:r>
      <w:r w:rsidRPr="008B48B8">
        <w:rPr>
          <w:i/>
        </w:rPr>
        <w:t>Social Security Act 1991</w:t>
      </w:r>
      <w:r w:rsidRPr="008B48B8">
        <w:t xml:space="preserve"> (</w:t>
      </w:r>
      <w:r>
        <w:t>p</w:t>
      </w:r>
      <w:r w:rsidRPr="008B48B8">
        <w:t>rovider’s should receive from the student evidence of this assessment in the form of their Centrelink Income Statement)</w:t>
      </w:r>
    </w:p>
    <w:p w14:paraId="0A67D36C" w14:textId="73CC4DEE" w:rsidR="00983AE6" w:rsidRPr="008B48B8" w:rsidRDefault="00983AE6" w:rsidP="00A0727A">
      <w:pPr>
        <w:pStyle w:val="ListBullet"/>
        <w:numPr>
          <w:ilvl w:val="0"/>
          <w:numId w:val="38"/>
        </w:numPr>
      </w:pPr>
      <w:r w:rsidRPr="008B48B8">
        <w:t>information and documents to establ</w:t>
      </w:r>
      <w:r>
        <w:t xml:space="preserve">ish that the student meets the </w:t>
      </w:r>
      <w:r w:rsidRPr="008B48B8">
        <w:t xml:space="preserve">citizenship and residency requirements in section 11 of the Act </w:t>
      </w:r>
    </w:p>
    <w:p w14:paraId="4C269B8B" w14:textId="437A65C8" w:rsidR="00983AE6" w:rsidRPr="008B48B8" w:rsidRDefault="00A5142E" w:rsidP="00A0727A">
      <w:pPr>
        <w:pStyle w:val="ListBullet"/>
        <w:numPr>
          <w:ilvl w:val="0"/>
          <w:numId w:val="38"/>
        </w:numPr>
        <w:rPr>
          <w:noProof/>
          <w:lang w:val="en-US"/>
        </w:rPr>
      </w:pPr>
      <w:r>
        <w:t>i</w:t>
      </w:r>
      <w:r w:rsidR="00983AE6" w:rsidRPr="008B48B8">
        <w:t>f the student has applied for, but not been issued with a tax file number (TFN),</w:t>
      </w:r>
      <w:r w:rsidR="00983AE6" w:rsidRPr="008B48B8" w:rsidDel="00C773F8">
        <w:t xml:space="preserve"> </w:t>
      </w:r>
      <w:r w:rsidR="00983AE6" w:rsidRPr="008B48B8">
        <w:t>a certificate from the Commissioner that the student has applied for a TFN.</w:t>
      </w:r>
    </w:p>
    <w:p w14:paraId="0029FE04" w14:textId="77777777" w:rsidR="00983AE6" w:rsidRPr="00DB40B3" w:rsidRDefault="00983AE6" w:rsidP="004F6CCE">
      <w:pPr>
        <w:pStyle w:val="Heading5"/>
        <w:rPr>
          <w:noProof/>
          <w:lang w:val="en-US"/>
        </w:rPr>
      </w:pPr>
      <w:bookmarkStart w:id="1457" w:name="student_is_under_18"/>
      <w:r w:rsidRPr="00DB40B3">
        <w:rPr>
          <w:noProof/>
          <w:lang w:val="en-US"/>
        </w:rPr>
        <w:t>Students under the age of 18</w:t>
      </w:r>
      <w:bookmarkEnd w:id="1457"/>
      <w:r w:rsidRPr="00DB40B3">
        <w:rPr>
          <w:noProof/>
          <w:lang w:val="en-US"/>
        </w:rPr>
        <w:t xml:space="preserve"> </w:t>
      </w:r>
    </w:p>
    <w:p w14:paraId="66027CC0" w14:textId="77777777" w:rsidR="00983AE6" w:rsidRPr="00DB40B3" w:rsidRDefault="00983AE6" w:rsidP="00983AE6">
      <w:r w:rsidRPr="00DB40B3">
        <w:t>From 1 July 2017, providers are required to obtain a parental consent form before entering new enrolment data for an intended eCAF.</w:t>
      </w:r>
    </w:p>
    <w:p w14:paraId="0878AC6B" w14:textId="77777777" w:rsidR="00983AE6" w:rsidRPr="003F71F2" w:rsidRDefault="00983AE6" w:rsidP="00983AE6">
      <w:r w:rsidRPr="00800581">
        <w:rPr>
          <w:rStyle w:val="Strong"/>
        </w:rPr>
        <w:lastRenderedPageBreak/>
        <w:t>IMPORTANT NOTE:</w:t>
      </w:r>
      <w:r>
        <w:rPr>
          <w:rStyle w:val="Strong"/>
        </w:rPr>
        <w:t xml:space="preserve"> </w:t>
      </w:r>
      <w:r w:rsidRPr="00800581">
        <w:t>The Secretary is not required to pay a loan amount for a student for a course if the student has not given the Secretary the student’s tax file number</w:t>
      </w:r>
      <w:r w:rsidRPr="00DB40B3">
        <w:t xml:space="preserve"> </w:t>
      </w:r>
      <w:r w:rsidRPr="00800581">
        <w:rPr>
          <w:rStyle w:val="ReferenceChar"/>
        </w:rPr>
        <w:t xml:space="preserve">[Act s 20(a)] </w:t>
      </w:r>
      <w:r w:rsidRPr="00800581">
        <w:t>or the student’s student identifier</w:t>
      </w:r>
      <w:r w:rsidRPr="00784226">
        <w:rPr>
          <w:color w:val="3333FF"/>
          <w:sz w:val="16"/>
          <w:szCs w:val="16"/>
        </w:rPr>
        <w:t xml:space="preserve"> </w:t>
      </w:r>
      <w:r w:rsidRPr="00800581">
        <w:rPr>
          <w:rStyle w:val="ReferenceChar"/>
        </w:rPr>
        <w:t>[Act s 20(b)]</w:t>
      </w:r>
      <w:r>
        <w:t>.</w:t>
      </w:r>
    </w:p>
    <w:p w14:paraId="187B3E7E" w14:textId="68FC7CAA" w:rsidR="00983AE6" w:rsidRPr="009639E1" w:rsidRDefault="00983AE6" w:rsidP="004F6CCE">
      <w:pPr>
        <w:pStyle w:val="Heading5"/>
      </w:pPr>
      <w:bookmarkStart w:id="1458" w:name="_Toc481505227"/>
      <w:bookmarkStart w:id="1459" w:name="_Toc483209548"/>
      <w:bookmarkStart w:id="1460" w:name="_Toc483222877"/>
      <w:r w:rsidRPr="009639E1">
        <w:t>Monitoring student engagement</w:t>
      </w:r>
      <w:bookmarkEnd w:id="1458"/>
      <w:bookmarkEnd w:id="1459"/>
      <w:bookmarkEnd w:id="1460"/>
      <w:r w:rsidR="009325D4">
        <w:t xml:space="preserve"> and progression</w:t>
      </w:r>
    </w:p>
    <w:p w14:paraId="4B193566" w14:textId="18D24F85" w:rsidR="00983AE6" w:rsidRDefault="00983AE6" w:rsidP="00983AE6">
      <w:pPr>
        <w:rPr>
          <w:noProof/>
        </w:rPr>
      </w:pPr>
      <w:r w:rsidRPr="007F374F">
        <w:rPr>
          <w:noProof/>
        </w:rPr>
        <w:t xml:space="preserve">As part of stronger compliance measures, students will use the eCAF (after 1 July 2017) to demonstrate they are engaged with their training. </w:t>
      </w:r>
      <w:r w:rsidRPr="008A78A2">
        <w:rPr>
          <w:color w:val="000000"/>
          <w:lang w:eastAsia="en-AU"/>
        </w:rPr>
        <w:t xml:space="preserve">Students will be required to indicate continuing engagement only after at least four months have elapsed since their eCAF application was submitted, or they last indicated engagement. </w:t>
      </w:r>
      <w:r w:rsidRPr="007F374F">
        <w:rPr>
          <w:noProof/>
        </w:rPr>
        <w:t xml:space="preserve">The absence of student engagement will be monitored through compliance procedures and may prompt an investigation of student lack of engagement which may trigger </w:t>
      </w:r>
      <w:r>
        <w:rPr>
          <w:noProof/>
        </w:rPr>
        <w:t>the re</w:t>
      </w:r>
      <w:r w:rsidRPr="007F374F">
        <w:rPr>
          <w:noProof/>
        </w:rPr>
        <w:t xml:space="preserve">mission of debts. </w:t>
      </w:r>
      <w:r>
        <w:rPr>
          <w:noProof/>
        </w:rPr>
        <w:t>See section ‘</w:t>
      </w:r>
      <w:hyperlink w:anchor="_Determining_genuine_students" w:history="1">
        <w:r w:rsidRPr="00800581">
          <w:rPr>
            <w:rStyle w:val="Hyperlink"/>
          </w:rPr>
          <w:t>Determining genuine students</w:t>
        </w:r>
      </w:hyperlink>
      <w:r>
        <w:rPr>
          <w:noProof/>
        </w:rPr>
        <w:t>’</w:t>
      </w:r>
      <w:r w:rsidRPr="00800581">
        <w:t>.</w:t>
      </w:r>
    </w:p>
    <w:p w14:paraId="21226ACA" w14:textId="77777777" w:rsidR="00983AE6" w:rsidRPr="009639E1" w:rsidRDefault="00983AE6" w:rsidP="004F6CCE">
      <w:pPr>
        <w:pStyle w:val="Heading5"/>
      </w:pPr>
      <w:bookmarkStart w:id="1461" w:name="_Toc481505228"/>
      <w:bookmarkStart w:id="1462" w:name="_Toc483209549"/>
      <w:bookmarkStart w:id="1463" w:name="_Toc483222878"/>
      <w:r w:rsidRPr="009639E1">
        <w:t>Providing a TFN</w:t>
      </w:r>
      <w:bookmarkEnd w:id="1461"/>
      <w:bookmarkEnd w:id="1462"/>
      <w:bookmarkEnd w:id="1463"/>
    </w:p>
    <w:p w14:paraId="40678DF7" w14:textId="0F22A657" w:rsidR="00983AE6" w:rsidRPr="00800581" w:rsidRDefault="00983AE6" w:rsidP="00983AE6">
      <w:pPr>
        <w:rPr>
          <w:rStyle w:val="Strong"/>
        </w:rPr>
      </w:pPr>
      <w:r w:rsidRPr="00800581">
        <w:rPr>
          <w:rStyle w:val="Strong"/>
        </w:rPr>
        <w:t xml:space="preserve">IMPORTANT: ATO will </w:t>
      </w:r>
      <w:r w:rsidR="009325D4">
        <w:rPr>
          <w:rStyle w:val="Strong"/>
        </w:rPr>
        <w:t>not</w:t>
      </w:r>
      <w:r w:rsidRPr="00800581">
        <w:rPr>
          <w:rStyle w:val="Strong"/>
        </w:rPr>
        <w:t xml:space="preserve"> provide TFNs to providers</w:t>
      </w:r>
    </w:p>
    <w:p w14:paraId="5FBE1A9D" w14:textId="7AE41056" w:rsidR="00983AE6" w:rsidRDefault="00983AE6" w:rsidP="00983AE6">
      <w:r w:rsidRPr="002D1142">
        <w:t xml:space="preserve">Neither the </w:t>
      </w:r>
      <w:r>
        <w:t>Act</w:t>
      </w:r>
      <w:r w:rsidRPr="002D1142">
        <w:t xml:space="preserve"> nor the </w:t>
      </w:r>
      <w:r>
        <w:t>Rules</w:t>
      </w:r>
      <w:r w:rsidRPr="002D1142">
        <w:t xml:space="preserve"> enable </w:t>
      </w:r>
      <w:r>
        <w:t>a</w:t>
      </w:r>
      <w:r w:rsidRPr="002D1142">
        <w:t xml:space="preserve"> </w:t>
      </w:r>
      <w:r>
        <w:t>p</w:t>
      </w:r>
      <w:r w:rsidRPr="002D1142">
        <w:t xml:space="preserve">rovider to access a student’s </w:t>
      </w:r>
      <w:r>
        <w:t>tax file number (</w:t>
      </w:r>
      <w:r w:rsidRPr="002D1142">
        <w:t>TFN</w:t>
      </w:r>
      <w:r>
        <w:t>)</w:t>
      </w:r>
      <w:r w:rsidRPr="002D1142">
        <w:t xml:space="preserve"> directly from the Australian Taxation Office</w:t>
      </w:r>
      <w:r>
        <w:t xml:space="preserve"> (ATO).</w:t>
      </w:r>
      <w:r w:rsidRPr="002D1142">
        <w:t xml:space="preserve"> The provision of TFNs to providers </w:t>
      </w:r>
      <w:r w:rsidR="009325D4">
        <w:t>occurred under the VET </w:t>
      </w:r>
      <w:r w:rsidRPr="002D1142">
        <w:t>FEE-HELP scheme through the ‘authorised contact’ arrangements</w:t>
      </w:r>
      <w:r>
        <w:t>.</w:t>
      </w:r>
      <w:r w:rsidRPr="002D1142">
        <w:t xml:space="preserve"> In September 2016, the department requested the ATO to stop giving a person’s TFN to prov</w:t>
      </w:r>
      <w:r>
        <w:t xml:space="preserve">iders. </w:t>
      </w:r>
      <w:r w:rsidRPr="002D1142">
        <w:t>Providers must seek TFNs from</w:t>
      </w:r>
      <w:r>
        <w:t xml:space="preserve"> the eCAF system </w:t>
      </w:r>
      <w:r w:rsidR="005661BD">
        <w:t>(</w:t>
      </w:r>
      <w:r>
        <w:t>or from students via the paper form</w:t>
      </w:r>
      <w:r w:rsidR="005661BD">
        <w:t xml:space="preserve"> in limited circumstances only where the provider has first sought approval from the department to use the paper form)</w:t>
      </w:r>
      <w:r w:rsidRPr="002D1142">
        <w:t xml:space="preserve">. </w:t>
      </w:r>
      <w:r w:rsidR="009325D4">
        <w:t>Providers should have regard to the rules, processes, procedures and penalties regarding handling of TFNs.</w:t>
      </w:r>
    </w:p>
    <w:p w14:paraId="1B0FE9BB" w14:textId="77777777" w:rsidR="00983AE6" w:rsidRPr="009639E1" w:rsidRDefault="00983AE6" w:rsidP="004F6CCE">
      <w:pPr>
        <w:pStyle w:val="Heading5"/>
      </w:pPr>
      <w:bookmarkStart w:id="1464" w:name="_Provision_of_TFN"/>
      <w:bookmarkStart w:id="1465" w:name="_Toc481505229"/>
      <w:bookmarkStart w:id="1466" w:name="_Toc483209550"/>
      <w:bookmarkStart w:id="1467" w:name="_Toc483222879"/>
      <w:bookmarkEnd w:id="1464"/>
      <w:r w:rsidRPr="009639E1">
        <w:t>Provision of TFN by students</w:t>
      </w:r>
      <w:bookmarkEnd w:id="1465"/>
      <w:bookmarkEnd w:id="1466"/>
      <w:bookmarkEnd w:id="1467"/>
    </w:p>
    <w:p w14:paraId="4C86659A" w14:textId="77777777" w:rsidR="00983AE6" w:rsidRPr="002D1142" w:rsidRDefault="00983AE6" w:rsidP="00983AE6">
      <w:r>
        <w:t>If</w:t>
      </w:r>
      <w:r w:rsidRPr="00B05433">
        <w:t xml:space="preserve"> a student cannot remember their TFN </w:t>
      </w:r>
      <w:r>
        <w:t xml:space="preserve">they </w:t>
      </w:r>
      <w:r w:rsidRPr="00B05433">
        <w:t>can call the ATO on 13 28 61.</w:t>
      </w:r>
    </w:p>
    <w:p w14:paraId="5AF4A766" w14:textId="77777777" w:rsidR="00983AE6" w:rsidRDefault="00983AE6" w:rsidP="00983AE6">
      <w:r w:rsidRPr="00B05433">
        <w:t xml:space="preserve">Students who do not have a TFN should apply for one by completing a </w:t>
      </w:r>
      <w:r w:rsidRPr="00B05433">
        <w:rPr>
          <w:i/>
        </w:rPr>
        <w:t>Tax file number – application or enquiry for individuals</w:t>
      </w:r>
      <w:r w:rsidRPr="00B05433">
        <w:t xml:space="preserve"> (NAT1432) form available from the ATO.</w:t>
      </w:r>
      <w:r>
        <w:t xml:space="preserve"> </w:t>
      </w:r>
    </w:p>
    <w:p w14:paraId="76C6E7D1" w14:textId="1A2F32C9" w:rsidR="00983AE6" w:rsidRPr="00292B1D" w:rsidRDefault="00983AE6" w:rsidP="00983AE6">
      <w:r w:rsidRPr="00292B1D">
        <w:t xml:space="preserve">Without a TFN included in the student’s electronic application for a loan (eCAF), providers will not be paid the loan amount </w:t>
      </w:r>
      <w:r w:rsidRPr="00800581">
        <w:rPr>
          <w:rStyle w:val="ReferenceChar"/>
        </w:rPr>
        <w:t>[Act s 20</w:t>
      </w:r>
      <w:r w:rsidR="00CB24AA">
        <w:rPr>
          <w:rStyle w:val="ReferenceChar"/>
        </w:rPr>
        <w:t>(a)</w:t>
      </w:r>
      <w:r w:rsidRPr="00800581">
        <w:rPr>
          <w:rStyle w:val="ReferenceChar"/>
        </w:rPr>
        <w:t>]</w:t>
      </w:r>
      <w:r w:rsidRPr="00292B1D">
        <w:t xml:space="preserve"> and providers cannot recover the course fee from students </w:t>
      </w:r>
      <w:r w:rsidRPr="00800581">
        <w:rPr>
          <w:rStyle w:val="ReferenceChar"/>
        </w:rPr>
        <w:t>[Acts s 56]</w:t>
      </w:r>
      <w:r w:rsidRPr="00292B1D">
        <w:t>.</w:t>
      </w:r>
      <w:r w:rsidR="006F629E">
        <w:t xml:space="preserve"> Providers cannot recover course fees from the student where those fees were indicated in the Statement of Covered Fees as being covered by a loan. </w:t>
      </w:r>
    </w:p>
    <w:p w14:paraId="47B82F1E" w14:textId="5AADAAB6" w:rsidR="00983AE6" w:rsidRPr="00B05433" w:rsidRDefault="00983AE6" w:rsidP="00983AE6">
      <w:r w:rsidRPr="00B05433">
        <w:t>As a TFN is usually provided within 28 days of application</w:t>
      </w:r>
      <w:r>
        <w:t xml:space="preserve"> to the ATO</w:t>
      </w:r>
      <w:r w:rsidRPr="00B05433">
        <w:t>, it is essential for students to apply early to ensure they have their TFN on or before the census date. If a student applies for a TFN less than one month before the relevant census date, the student should request one of the following</w:t>
      </w:r>
      <w:r w:rsidR="000873C3">
        <w:t>:</w:t>
      </w:r>
    </w:p>
    <w:p w14:paraId="7FF464D7" w14:textId="77777777" w:rsidR="00983AE6" w:rsidRPr="00B05433" w:rsidRDefault="00983AE6" w:rsidP="00983AE6">
      <w:pPr>
        <w:pStyle w:val="ListBullet"/>
      </w:pPr>
      <w:r w:rsidRPr="00B05433">
        <w:t>a Certificate of application for a TFN issued by the ATO</w:t>
      </w:r>
    </w:p>
    <w:p w14:paraId="5DCD8F3A" w14:textId="77777777" w:rsidR="00983AE6" w:rsidRPr="00B05433" w:rsidRDefault="00983AE6" w:rsidP="00983AE6">
      <w:pPr>
        <w:pStyle w:val="ListBullet"/>
      </w:pPr>
      <w:r w:rsidRPr="00B05433">
        <w:t>a copy of their online application summary and barcode matched receipt issued by Australia Post.</w:t>
      </w:r>
    </w:p>
    <w:p w14:paraId="31FC9F7A" w14:textId="77777777" w:rsidR="00983AE6" w:rsidRDefault="00983AE6" w:rsidP="00983AE6">
      <w:r w:rsidRPr="00292B1D">
        <w:t xml:space="preserve">If a student has not received their TFN by 10 days before the census date, the student should provide this certificate or receipt to their provider as proof of having applied so that the provider may monitor subsequent provision of the TFN. </w:t>
      </w:r>
    </w:p>
    <w:p w14:paraId="437EEB61" w14:textId="77777777" w:rsidR="00983AE6" w:rsidRDefault="00983AE6" w:rsidP="00983AE6">
      <w:r w:rsidRPr="00292B1D">
        <w:rPr>
          <w:lang w:eastAsia="en-AU"/>
        </w:rPr>
        <w:t xml:space="preserve">Where a </w:t>
      </w:r>
      <w:r w:rsidRPr="00292B1D">
        <w:t>student does not supply a TFN in the initial VET Student Loans application (eCAF), the student will still be able to complete the eCAF for a VET Student Loan by uploading their ‘</w:t>
      </w:r>
      <w:r w:rsidRPr="00292B1D">
        <w:rPr>
          <w:i/>
        </w:rPr>
        <w:t>certificate of application for a TFN</w:t>
      </w:r>
      <w:r w:rsidRPr="00292B1D">
        <w:t xml:space="preserve">’.  If the eCAF does not have either the TFN, or Certificate of Application for a TFN uploaded, it is not able to be submitted by the student and the student will need to pay for their studies upfront or alter their study plans. </w:t>
      </w:r>
    </w:p>
    <w:p w14:paraId="7718BCD4" w14:textId="77777777" w:rsidR="00D2391A" w:rsidRDefault="00983AE6" w:rsidP="00983AE6">
      <w:r w:rsidRPr="00292B1D">
        <w:t xml:space="preserve">Once the student receives their TFN from the ATO the student will need to contact their provider immediately. The student should ask the provider to re-open the eCAF to enable the student to update their TFN.  The provider will put the eCAF into ‘revision status’ to enable the student to input </w:t>
      </w:r>
      <w:r w:rsidRPr="00292B1D">
        <w:lastRenderedPageBreak/>
        <w:t xml:space="preserve">their TFN.  Once in ‘revision status’, the eCAF system will send an email to the student indicating they can update their TFN in their eCAF record. The student will update their TFN and then resubmit the eCAF. </w:t>
      </w:r>
    </w:p>
    <w:p w14:paraId="0B1113FE" w14:textId="77777777" w:rsidR="00983AE6" w:rsidRPr="00292B1D" w:rsidRDefault="00983AE6" w:rsidP="00983AE6">
      <w:r>
        <w:t>This must be completed within 6 </w:t>
      </w:r>
      <w:r w:rsidRPr="00292B1D">
        <w:t>weeks of the first census date included in the eCAF. It is important that providers advise students that even though they have uploaded a ‘Certificate of application for a TFN’, the students must provide the TFN as soon as they receive this from the ATO</w:t>
      </w:r>
      <w:r>
        <w:t>.</w:t>
      </w:r>
      <w:r w:rsidRPr="00292B1D">
        <w:t xml:space="preserve"> </w:t>
      </w:r>
      <w:r>
        <w:t>W</w:t>
      </w:r>
      <w:r w:rsidRPr="00292B1D">
        <w:t xml:space="preserve">ithout a TFN, the loan amount will not be paid to the provider and the student will not be able to use the loan for that study period. </w:t>
      </w:r>
    </w:p>
    <w:p w14:paraId="00E6B7CD" w14:textId="537AF211" w:rsidR="00CD63C8" w:rsidRPr="00A41C46" w:rsidRDefault="00983AE6" w:rsidP="00A41C46">
      <w:r w:rsidRPr="00292B1D">
        <w:t xml:space="preserve">In addition, to ensure that the provider is able to follow up on these students, providers may run an eCAF exception report to identify all students who have not provided a TFN and have submitted a ‘Certificate of application for a TFN’. The reports are available from the eCAF dashboard. Providers may </w:t>
      </w:r>
      <w:r w:rsidR="00CA63F8">
        <w:t>also access and search for eCAFs</w:t>
      </w:r>
      <w:r w:rsidRPr="00292B1D">
        <w:t xml:space="preserve"> without TFNs directly in the eCAF system or via the API links from the providers’ student management systems. Refer to the eCAF Help guide for more information.</w:t>
      </w:r>
    </w:p>
    <w:p w14:paraId="2E25E933" w14:textId="77777777" w:rsidR="00AA6E3B" w:rsidRDefault="00AA6E3B" w:rsidP="004F6CCE">
      <w:pPr>
        <w:pStyle w:val="Heading5"/>
      </w:pPr>
      <w:bookmarkStart w:id="1468" w:name="_New_procedure_for"/>
      <w:bookmarkEnd w:id="1468"/>
      <w:r w:rsidRPr="0097236C">
        <w:t>New procedure for verifying TFNs</w:t>
      </w:r>
    </w:p>
    <w:p w14:paraId="7F700611" w14:textId="2BBD53AC" w:rsidR="00AA6E3B" w:rsidRPr="0097236C" w:rsidRDefault="00AA6E3B">
      <w:r>
        <w:t>When a provider</w:t>
      </w:r>
      <w:r w:rsidRPr="0097236C">
        <w:t xml:space="preserve"> submits a student's VET Student Loans debt record</w:t>
      </w:r>
      <w:r w:rsidR="009325D4">
        <w:t xml:space="preserve"> in HEIMS</w:t>
      </w:r>
      <w:r w:rsidRPr="0097236C">
        <w:t>, the TFN will be automatically sent for verification (with the ATO</w:t>
      </w:r>
      <w:r w:rsidR="003208BF">
        <w:t>)</w:t>
      </w:r>
      <w:r w:rsidRPr="0097236C">
        <w:t>. If the student's TFN and personal details match, the student's HELP debt will be transferred to the ATO.</w:t>
      </w:r>
    </w:p>
    <w:p w14:paraId="07A5BCE4" w14:textId="1B73D412" w:rsidR="00AA6E3B" w:rsidRPr="0097236C" w:rsidRDefault="00AA6E3B" w:rsidP="0097236C">
      <w:r w:rsidRPr="0097236C">
        <w:t xml:space="preserve">TFN verification ensures that each TFN is confirmed as belonging to a particular student before their associated HELP debt is accepted by the ATO. The ATO verifies the TFNs by matching the details </w:t>
      </w:r>
      <w:r w:rsidR="003208BF">
        <w:t xml:space="preserve">it has </w:t>
      </w:r>
      <w:r w:rsidRPr="0097236C">
        <w:t xml:space="preserve">for the student with those </w:t>
      </w:r>
      <w:r w:rsidR="003208BF">
        <w:t>the provider has</w:t>
      </w:r>
      <w:r w:rsidRPr="0097236C">
        <w:t xml:space="preserve"> reported to HEIMS.</w:t>
      </w:r>
    </w:p>
    <w:p w14:paraId="7C4C38B0" w14:textId="77777777" w:rsidR="00AA6E3B" w:rsidRDefault="00AA6E3B" w:rsidP="00AA6E3B">
      <w:pPr>
        <w:rPr>
          <w:color w:val="1F497D"/>
        </w:rPr>
      </w:pPr>
      <w:r w:rsidRPr="0097236C">
        <w:t xml:space="preserve">More information relating the verification of TFNs can be found at: </w:t>
      </w:r>
      <w:hyperlink r:id="rId87" w:history="1">
        <w:r w:rsidRPr="0097236C">
          <w:rPr>
            <w:rStyle w:val="Hyperlink"/>
            <w:u w:val="single"/>
          </w:rPr>
          <w:t>http://heimshelp.education.gov.au/sites/heimshelp/support/revisions/pages/reporting-student-help-debts-to-the-ato</w:t>
        </w:r>
      </w:hyperlink>
      <w:r>
        <w:rPr>
          <w:color w:val="1F497D"/>
        </w:rPr>
        <w:t>.</w:t>
      </w:r>
    </w:p>
    <w:p w14:paraId="1327AB2E" w14:textId="77777777" w:rsidR="00983AE6" w:rsidRPr="009639E1" w:rsidRDefault="00983AE6" w:rsidP="004F6CCE">
      <w:pPr>
        <w:pStyle w:val="Heading5"/>
      </w:pPr>
      <w:bookmarkStart w:id="1469" w:name="_Toc481505230"/>
      <w:bookmarkStart w:id="1470" w:name="_Toc483209551"/>
      <w:bookmarkStart w:id="1471" w:name="_Toc483222880"/>
      <w:r w:rsidRPr="009639E1">
        <w:t>Retention of information relating to an application</w:t>
      </w:r>
      <w:bookmarkEnd w:id="1469"/>
      <w:bookmarkEnd w:id="1470"/>
      <w:bookmarkEnd w:id="1471"/>
    </w:p>
    <w:p w14:paraId="4442E5CC" w14:textId="160FC5BC" w:rsidR="00D43530" w:rsidRDefault="00983AE6" w:rsidP="0028499D">
      <w:pPr>
        <w:rPr>
          <w:rFonts w:ascii="Calibri" w:eastAsiaTheme="majorEastAsia" w:hAnsi="Calibri" w:cstheme="majorBidi"/>
          <w:b/>
          <w:bCs/>
          <w:color w:val="24206B"/>
        </w:rPr>
      </w:pPr>
      <w:r w:rsidRPr="00736F23">
        <w:t xml:space="preserve">A provider’s processes and procedures must specify that the provider must retain for at least 5 years the documents collected for the purposes of applications by students for </w:t>
      </w:r>
      <w:r w:rsidR="00454ED5">
        <w:t>VET Student Loans</w:t>
      </w:r>
      <w:r w:rsidRPr="00736F23">
        <w:t xml:space="preserve"> </w:t>
      </w:r>
      <w:r w:rsidRPr="00800581">
        <w:rPr>
          <w:rStyle w:val="ReferenceChar"/>
        </w:rPr>
        <w:t>[Rules s 105]</w:t>
      </w:r>
      <w:r w:rsidRPr="00736F23">
        <w:t>.</w:t>
      </w:r>
      <w:bookmarkStart w:id="1472" w:name="_Toc477960261"/>
      <w:bookmarkStart w:id="1473" w:name="_Toc477960701"/>
      <w:bookmarkStart w:id="1474" w:name="_Toc477961140"/>
      <w:bookmarkStart w:id="1475" w:name="_Toc477961618"/>
      <w:bookmarkStart w:id="1476" w:name="_Toc477962104"/>
      <w:bookmarkStart w:id="1477" w:name="_Toc477962591"/>
      <w:bookmarkStart w:id="1478" w:name="_Toc477963077"/>
      <w:bookmarkStart w:id="1479" w:name="_Toc477963570"/>
      <w:bookmarkStart w:id="1480" w:name="_Toc478042762"/>
      <w:bookmarkStart w:id="1481" w:name="_Toc478367012"/>
      <w:bookmarkStart w:id="1482" w:name="_Toc479083625"/>
      <w:bookmarkStart w:id="1483" w:name="_Toc471374411"/>
      <w:bookmarkStart w:id="1484" w:name="_Toc471374412"/>
      <w:bookmarkStart w:id="1485" w:name="_Toc471374413"/>
      <w:bookmarkStart w:id="1486" w:name="_4.8.6__"/>
      <w:bookmarkStart w:id="1487" w:name="_Toc471374414"/>
      <w:bookmarkStart w:id="1488" w:name="_Toc48322288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55769528" w14:textId="7AC53B0C" w:rsidR="00983AE6" w:rsidRPr="005131A5" w:rsidRDefault="00983AE6" w:rsidP="00983AE6">
      <w:pPr>
        <w:pStyle w:val="Heading3"/>
      </w:pPr>
      <w:bookmarkStart w:id="1489" w:name="_Toc501621220"/>
      <w:r>
        <w:t>4.8.</w:t>
      </w:r>
      <w:r w:rsidR="006625F7">
        <w:t>7</w:t>
      </w:r>
      <w:r w:rsidR="00C36EDC">
        <w:t xml:space="preserve">   </w:t>
      </w:r>
      <w:r w:rsidRPr="005131A5">
        <w:t>Processes and procedures relating to a student’s withdrawal from a course</w:t>
      </w:r>
      <w:bookmarkEnd w:id="1487"/>
      <w:bookmarkEnd w:id="1488"/>
      <w:bookmarkEnd w:id="1489"/>
    </w:p>
    <w:p w14:paraId="4144F566" w14:textId="77777777" w:rsidR="00983AE6" w:rsidRPr="00736F23" w:rsidRDefault="00983AE6" w:rsidP="00983AE6">
      <w:r w:rsidRPr="00736F23">
        <w:t>A provider’s processes and procedures must include:</w:t>
      </w:r>
    </w:p>
    <w:p w14:paraId="0D872A0B" w14:textId="77777777" w:rsidR="00983AE6" w:rsidRPr="00736F23" w:rsidRDefault="00983AE6" w:rsidP="00983AE6">
      <w:pPr>
        <w:pStyle w:val="ListBullet"/>
      </w:pPr>
      <w:r w:rsidRPr="00736F23">
        <w:t>procedures for a student to withdraw from an approved course, or a part of an approved course and</w:t>
      </w:r>
    </w:p>
    <w:p w14:paraId="15648F43" w14:textId="77777777" w:rsidR="00983AE6" w:rsidRPr="00736F23" w:rsidRDefault="00983AE6" w:rsidP="00983AE6">
      <w:pPr>
        <w:pStyle w:val="ListBullet"/>
        <w:rPr>
          <w:sz w:val="20"/>
          <w:szCs w:val="20"/>
        </w:rPr>
      </w:pPr>
      <w:r w:rsidRPr="00B30558">
        <w:t>a procedure for a student to enrol in a part of an approved course with the provider in circumstances where the student had earlier withdrawn from the part of the course undertaken with the provider</w:t>
      </w:r>
      <w:r w:rsidRPr="00B30558">
        <w:rPr>
          <w:sz w:val="20"/>
          <w:szCs w:val="20"/>
        </w:rPr>
        <w:t xml:space="preserve"> </w:t>
      </w:r>
      <w:r w:rsidRPr="00800581">
        <w:rPr>
          <w:rStyle w:val="ReferenceChar"/>
        </w:rPr>
        <w:t>[Rules s 86(1)]</w:t>
      </w:r>
      <w:r w:rsidRPr="00736F23">
        <w:t>.</w:t>
      </w:r>
    </w:p>
    <w:p w14:paraId="4DD8B7B5" w14:textId="77777777" w:rsidR="00983AE6" w:rsidRDefault="00983AE6" w:rsidP="00983AE6">
      <w:r w:rsidRPr="00736F23">
        <w:t>The procedures for a student to withdraw from an approved course, or a part of an approved course, before a census day for the course, or the part of the course, must not involve financial, administrative or other barriers to the withdrawal</w:t>
      </w:r>
      <w:r>
        <w:t xml:space="preserve"> </w:t>
      </w:r>
      <w:r w:rsidRPr="00800581">
        <w:rPr>
          <w:rStyle w:val="ReferenceChar"/>
        </w:rPr>
        <w:t>[Rules s 86(2)]</w:t>
      </w:r>
      <w:r w:rsidRPr="00736F23">
        <w:t>.</w:t>
      </w:r>
    </w:p>
    <w:p w14:paraId="0E0C87B4" w14:textId="77777777" w:rsidR="00983AE6" w:rsidRPr="009639E1" w:rsidRDefault="00983AE6" w:rsidP="004F6CCE">
      <w:pPr>
        <w:pStyle w:val="Heading5"/>
      </w:pPr>
      <w:bookmarkStart w:id="1490" w:name="_Toc481505232"/>
      <w:bookmarkStart w:id="1491" w:name="_Toc483209553"/>
      <w:bookmarkStart w:id="1492" w:name="_Toc483222882"/>
      <w:r w:rsidRPr="009639E1">
        <w:t>What should a withdrawal process and procedure include?</w:t>
      </w:r>
      <w:bookmarkEnd w:id="1490"/>
      <w:bookmarkEnd w:id="1491"/>
      <w:bookmarkEnd w:id="1492"/>
    </w:p>
    <w:p w14:paraId="11BEBBEA" w14:textId="77777777" w:rsidR="00983AE6" w:rsidRDefault="00983AE6" w:rsidP="00983AE6">
      <w:r w:rsidRPr="001B724D">
        <w:t xml:space="preserve">A provider </w:t>
      </w:r>
      <w:r w:rsidRPr="00800581">
        <w:rPr>
          <w:rStyle w:val="Strong"/>
        </w:rPr>
        <w:t>may</w:t>
      </w:r>
      <w:r w:rsidRPr="001B724D">
        <w:t xml:space="preserve"> require a student to follow its internal withdrawal procedure provided that doing so does not impede a student</w:t>
      </w:r>
      <w:r>
        <w:t>’</w:t>
      </w:r>
      <w:r w:rsidRPr="001B724D">
        <w:t>s wit</w:t>
      </w:r>
      <w:r>
        <w:t>hd</w:t>
      </w:r>
      <w:r w:rsidRPr="001B724D">
        <w:t>ra</w:t>
      </w:r>
      <w:r>
        <w:t>wa</w:t>
      </w:r>
      <w:r w:rsidRPr="001B724D">
        <w:t>l on or before the census date for a unit or part of a course</w:t>
      </w:r>
      <w:r>
        <w:t xml:space="preserve"> or whole course</w:t>
      </w:r>
      <w:r w:rsidRPr="001B724D">
        <w:t>.</w:t>
      </w:r>
    </w:p>
    <w:p w14:paraId="5D3BCA56" w14:textId="77777777" w:rsidR="00983AE6" w:rsidRDefault="00983AE6" w:rsidP="00F15113">
      <w:pPr>
        <w:keepNext/>
        <w:keepLines/>
      </w:pPr>
      <w:r>
        <w:lastRenderedPageBreak/>
        <w:t xml:space="preserve">A provider’s withdrawal process </w:t>
      </w:r>
      <w:r w:rsidRPr="00800581">
        <w:rPr>
          <w:rStyle w:val="Strong"/>
        </w:rPr>
        <w:t>should</w:t>
      </w:r>
      <w:r>
        <w:t xml:space="preserve"> include:</w:t>
      </w:r>
    </w:p>
    <w:p w14:paraId="59CE2646" w14:textId="77777777" w:rsidR="00983AE6" w:rsidRDefault="00983AE6" w:rsidP="00983AE6">
      <w:pPr>
        <w:pStyle w:val="ListBullet"/>
      </w:pPr>
      <w:r>
        <w:t>any method determined by the provider for students to formally communicate their intentions to the provider, including an online or paper form generated by the provider</w:t>
      </w:r>
    </w:p>
    <w:p w14:paraId="549F2DE2" w14:textId="77777777" w:rsidR="00983AE6" w:rsidRDefault="00983AE6" w:rsidP="00983AE6">
      <w:pPr>
        <w:pStyle w:val="ListBullet"/>
      </w:pPr>
      <w:r>
        <w:t>confirmation to the student of their withdrawal, including the date and time of the student’s withdrawal, the unit of study, part of a course or whole course from which the student withdrew and the relevant census day</w:t>
      </w:r>
    </w:p>
    <w:p w14:paraId="79B02ADD" w14:textId="77777777" w:rsidR="00983AE6" w:rsidRDefault="00983AE6" w:rsidP="00983AE6">
      <w:pPr>
        <w:pStyle w:val="ListBullet"/>
      </w:pPr>
      <w:r>
        <w:t>confirmation as to whether the student has incurred a debt for the unit, part of the course or whole course (noting that no debt may be incurred if the student withdraws prior to the census day)</w:t>
      </w:r>
    </w:p>
    <w:p w14:paraId="76695279" w14:textId="77777777" w:rsidR="00983AE6" w:rsidRDefault="00983AE6" w:rsidP="00983AE6">
      <w:pPr>
        <w:pStyle w:val="ListBullet"/>
      </w:pPr>
      <w:r>
        <w:t>advice to the student regarding the special circumstances requirements if applicable to the student’s circumstances</w:t>
      </w:r>
    </w:p>
    <w:p w14:paraId="418DE544" w14:textId="77777777" w:rsidR="00983AE6" w:rsidRPr="00B269CD" w:rsidRDefault="00983AE6" w:rsidP="00983AE6">
      <w:pPr>
        <w:pStyle w:val="ListBullet"/>
      </w:pPr>
      <w:r>
        <w:t>information about the refund of upfront payments (see ‘</w:t>
      </w:r>
      <w:hyperlink w:anchor="_Refund_of_tuition_1" w:history="1">
        <w:r w:rsidR="00886B46" w:rsidRPr="00886B46">
          <w:rPr>
            <w:rStyle w:val="Hyperlink"/>
          </w:rPr>
          <w:t>Refund of tuition fees where student withdraws by the census day</w:t>
        </w:r>
      </w:hyperlink>
      <w:r w:rsidR="00886B46">
        <w:t>)</w:t>
      </w:r>
    </w:p>
    <w:p w14:paraId="7BA13E89" w14:textId="77777777" w:rsidR="00983AE6" w:rsidRPr="009639E1" w:rsidRDefault="00983AE6" w:rsidP="004F6CCE">
      <w:pPr>
        <w:pStyle w:val="Heading5"/>
      </w:pPr>
      <w:bookmarkStart w:id="1493" w:name="_Toc481505233"/>
      <w:bookmarkStart w:id="1494" w:name="_Toc483209554"/>
      <w:bookmarkStart w:id="1495" w:name="_Toc483222883"/>
      <w:r w:rsidRPr="009639E1">
        <w:t>Can providers offer counselling to students who want to withdraw?</w:t>
      </w:r>
      <w:bookmarkEnd w:id="1493"/>
      <w:bookmarkEnd w:id="1494"/>
      <w:bookmarkEnd w:id="1495"/>
    </w:p>
    <w:p w14:paraId="73E90FFE" w14:textId="77777777" w:rsidR="00983AE6" w:rsidRDefault="00983AE6" w:rsidP="00983AE6">
      <w:r>
        <w:t xml:space="preserve">A withdrawal procedure </w:t>
      </w:r>
      <w:r w:rsidRPr="00872C91">
        <w:rPr>
          <w:b/>
        </w:rPr>
        <w:t xml:space="preserve">may </w:t>
      </w:r>
      <w:r w:rsidRPr="00872C91">
        <w:t>include</w:t>
      </w:r>
      <w:r>
        <w:t xml:space="preserve"> an optional counselling service for students wishing to withdraw from their studies, provided that it</w:t>
      </w:r>
    </w:p>
    <w:p w14:paraId="4F1777C9" w14:textId="77777777" w:rsidR="00983AE6" w:rsidRDefault="00983AE6" w:rsidP="00983AE6">
      <w:pPr>
        <w:pStyle w:val="ListBullet"/>
      </w:pPr>
      <w:r>
        <w:t xml:space="preserve">does not pressure a student into remaining enrolled </w:t>
      </w:r>
    </w:p>
    <w:p w14:paraId="525B453E" w14:textId="77777777" w:rsidR="00983AE6" w:rsidRDefault="00983AE6" w:rsidP="00983AE6">
      <w:pPr>
        <w:pStyle w:val="ListBullet"/>
      </w:pPr>
      <w:r>
        <w:t xml:space="preserve">does not pressure a student to enrol in a different course </w:t>
      </w:r>
    </w:p>
    <w:p w14:paraId="14582D6D" w14:textId="32C29AA4" w:rsidR="00D83D54" w:rsidRPr="004F6CCE" w:rsidRDefault="00983AE6" w:rsidP="002472D7">
      <w:pPr>
        <w:pStyle w:val="ListBullet"/>
        <w:spacing w:line="276" w:lineRule="auto"/>
        <w:rPr>
          <w:rFonts w:ascii="Calibri" w:eastAsiaTheme="majorEastAsia" w:hAnsi="Calibri" w:cstheme="majorBidi"/>
          <w:b/>
          <w:bCs/>
          <w:i/>
        </w:rPr>
      </w:pPr>
      <w:r>
        <w:t>occurs within a timeframe that allows the student to withdraw on or before the census date if the student still so chooses</w:t>
      </w:r>
      <w:r w:rsidR="009325D4">
        <w:t>.</w:t>
      </w:r>
      <w:r>
        <w:t xml:space="preserve"> </w:t>
      </w:r>
      <w:bookmarkStart w:id="1496" w:name="_What_cannot_be"/>
      <w:bookmarkStart w:id="1497" w:name="_Toc481505234"/>
      <w:bookmarkStart w:id="1498" w:name="_Toc483209555"/>
      <w:bookmarkStart w:id="1499" w:name="_Toc483222884"/>
      <w:bookmarkEnd w:id="1496"/>
    </w:p>
    <w:p w14:paraId="41ADA73E" w14:textId="53198034" w:rsidR="00983AE6" w:rsidRPr="009639E1" w:rsidRDefault="00983AE6" w:rsidP="004F6CCE">
      <w:pPr>
        <w:pStyle w:val="Heading5"/>
      </w:pPr>
      <w:bookmarkStart w:id="1500" w:name="_What_cannot_be_1"/>
      <w:bookmarkEnd w:id="1500"/>
      <w:r w:rsidRPr="009639E1">
        <w:t>What cannot be included in a withdrawal process and procedure?</w:t>
      </w:r>
      <w:bookmarkEnd w:id="1497"/>
      <w:bookmarkEnd w:id="1498"/>
      <w:bookmarkEnd w:id="1499"/>
    </w:p>
    <w:p w14:paraId="3DF5CDF0" w14:textId="77777777" w:rsidR="00983AE6" w:rsidRDefault="00983AE6" w:rsidP="00983AE6">
      <w:r>
        <w:t xml:space="preserve">For withdrawals on or before the census day from a unit of study, part of a course or whole course, provider </w:t>
      </w:r>
      <w:r w:rsidRPr="00771C40">
        <w:rPr>
          <w:rStyle w:val="Strong"/>
        </w:rPr>
        <w:t>must not</w:t>
      </w:r>
      <w:r w:rsidRPr="0002438A">
        <w:t xml:space="preserve"> </w:t>
      </w:r>
      <w:r>
        <w:t>charge:</w:t>
      </w:r>
    </w:p>
    <w:p w14:paraId="19EA56EB" w14:textId="77777777" w:rsidR="00983AE6" w:rsidRDefault="00983AE6" w:rsidP="00983AE6">
      <w:pPr>
        <w:pStyle w:val="ListBullet"/>
      </w:pPr>
      <w:r>
        <w:t>a withdrawal fee</w:t>
      </w:r>
    </w:p>
    <w:p w14:paraId="4E1529F8" w14:textId="77777777" w:rsidR="00983AE6" w:rsidRDefault="00983AE6" w:rsidP="00983AE6">
      <w:pPr>
        <w:pStyle w:val="ListBullet"/>
      </w:pPr>
      <w:r>
        <w:t>an administration fee</w:t>
      </w:r>
    </w:p>
    <w:p w14:paraId="1CF7FC91" w14:textId="77777777" w:rsidR="00983AE6" w:rsidRDefault="00983AE6" w:rsidP="00983AE6">
      <w:pPr>
        <w:pStyle w:val="ListBullet"/>
      </w:pPr>
      <w:r>
        <w:t>a fine or penalty</w:t>
      </w:r>
    </w:p>
    <w:p w14:paraId="70A1089C" w14:textId="77777777" w:rsidR="00983AE6" w:rsidRDefault="00983AE6" w:rsidP="00983AE6">
      <w:pPr>
        <w:pStyle w:val="ListBullet"/>
      </w:pPr>
      <w:r>
        <w:t>a fee determined to be a disincentive to withdrawing from a unit, part of a course or whole course</w:t>
      </w:r>
    </w:p>
    <w:p w14:paraId="6CD442E1" w14:textId="77777777" w:rsidR="00983AE6" w:rsidRDefault="00983AE6" w:rsidP="00983AE6">
      <w:pPr>
        <w:pStyle w:val="ListBullet"/>
      </w:pPr>
      <w:r>
        <w:t>any portion of the tuition fees for the unit, part of the course or entire course from which the student is withdrawing</w:t>
      </w:r>
    </w:p>
    <w:p w14:paraId="26169578" w14:textId="77777777" w:rsidR="00983AE6" w:rsidRPr="009639E1" w:rsidRDefault="00983AE6" w:rsidP="004F6CCE">
      <w:pPr>
        <w:pStyle w:val="Heading5"/>
      </w:pPr>
      <w:bookmarkStart w:id="1501" w:name="_Toc481505235"/>
      <w:bookmarkStart w:id="1502" w:name="_Toc483209556"/>
      <w:bookmarkStart w:id="1503" w:name="_Toc483222885"/>
      <w:r w:rsidRPr="009639E1">
        <w:t>Re-enrolling a student who has withdrawn</w:t>
      </w:r>
      <w:bookmarkEnd w:id="1501"/>
      <w:bookmarkEnd w:id="1502"/>
      <w:bookmarkEnd w:id="1503"/>
    </w:p>
    <w:p w14:paraId="4B70ED71" w14:textId="77777777" w:rsidR="00983AE6" w:rsidRDefault="00983AE6" w:rsidP="00983AE6">
      <w:pPr>
        <w:pStyle w:val="Normal-aftertable"/>
      </w:pPr>
      <w:r w:rsidRPr="00EF4B27">
        <w:t xml:space="preserve">If a student withdraws from an approved course, or a part of an approved course, the course provider must not, after the withdrawal, </w:t>
      </w:r>
      <w:r>
        <w:t>re-</w:t>
      </w:r>
      <w:r w:rsidRPr="00EF4B27">
        <w:t>enrol the student without the wr</w:t>
      </w:r>
      <w:r>
        <w:t xml:space="preserve">itten permission of the student </w:t>
      </w:r>
      <w:r w:rsidRPr="00771C40">
        <w:rPr>
          <w:rStyle w:val="ReferenceChar"/>
        </w:rPr>
        <w:t>[Rules s 86(3)]</w:t>
      </w:r>
      <w:r w:rsidRPr="00736F23">
        <w:t>.</w:t>
      </w:r>
    </w:p>
    <w:p w14:paraId="4651E184" w14:textId="77777777" w:rsidR="00983AE6" w:rsidRPr="009C76AD" w:rsidRDefault="00983AE6" w:rsidP="004F6CCE">
      <w:pPr>
        <w:pStyle w:val="Heading5"/>
      </w:pPr>
      <w:bookmarkStart w:id="1504" w:name="_Refund_of_tuition_1"/>
      <w:bookmarkEnd w:id="1504"/>
      <w:r w:rsidRPr="009C76AD">
        <w:t>Refund of tuition fees where student withdraws by the census day</w:t>
      </w:r>
    </w:p>
    <w:p w14:paraId="4E455A25" w14:textId="77777777" w:rsidR="00983AE6" w:rsidRDefault="00983AE6" w:rsidP="00983AE6">
      <w:r w:rsidRPr="00D94C6A">
        <w:t xml:space="preserve">Where a student </w:t>
      </w:r>
      <w:r>
        <w:t>withdraws</w:t>
      </w:r>
      <w:r w:rsidRPr="00D94C6A">
        <w:t xml:space="preserve"> their enrolment</w:t>
      </w:r>
      <w:r>
        <w:t xml:space="preserve"> in an approved course</w:t>
      </w:r>
      <w:r w:rsidRPr="00D94C6A">
        <w:t xml:space="preserve"> on or before the census day, they must not incur tuition fees for the course or part of the course, to which the census day applies </w:t>
      </w:r>
      <w:r>
        <w:rPr>
          <w:rStyle w:val="ReferenceChar"/>
        </w:rPr>
        <w:t>[Act </w:t>
      </w:r>
      <w:r w:rsidRPr="00771C40">
        <w:rPr>
          <w:rStyle w:val="ReferenceChar"/>
        </w:rPr>
        <w:t>s</w:t>
      </w:r>
      <w:r>
        <w:rPr>
          <w:rStyle w:val="ReferenceChar"/>
        </w:rPr>
        <w:t> </w:t>
      </w:r>
      <w:r w:rsidRPr="00771C40">
        <w:rPr>
          <w:rStyle w:val="ReferenceChar"/>
        </w:rPr>
        <w:t>58]</w:t>
      </w:r>
      <w:r w:rsidRPr="00771C40">
        <w:t xml:space="preserve">. </w:t>
      </w:r>
    </w:p>
    <w:p w14:paraId="55A02B6F" w14:textId="77777777" w:rsidR="00983AE6" w:rsidRPr="00D94C6A" w:rsidRDefault="00983AE6" w:rsidP="00983AE6">
      <w:r w:rsidRPr="00D94C6A">
        <w:t>This applies to all of the tuition fees for the course or part of the course to which the census day relates. Therefore it includes:</w:t>
      </w:r>
    </w:p>
    <w:p w14:paraId="7CAF3409" w14:textId="77777777" w:rsidR="00983AE6" w:rsidRPr="00D94C6A" w:rsidRDefault="00454ED5" w:rsidP="00983AE6">
      <w:pPr>
        <w:pStyle w:val="ListBullet"/>
      </w:pPr>
      <w:r>
        <w:t>VET Student Loans</w:t>
      </w:r>
      <w:r w:rsidR="00983AE6" w:rsidRPr="00D94C6A">
        <w:t xml:space="preserve"> covered fees </w:t>
      </w:r>
    </w:p>
    <w:p w14:paraId="686C40FE" w14:textId="77777777" w:rsidR="00983AE6" w:rsidRPr="00D94C6A" w:rsidRDefault="00983AE6" w:rsidP="00983AE6">
      <w:pPr>
        <w:pStyle w:val="ListBullet"/>
      </w:pPr>
      <w:r w:rsidRPr="00D94C6A">
        <w:t>any gap fees</w:t>
      </w:r>
    </w:p>
    <w:p w14:paraId="1C0636B4" w14:textId="77777777" w:rsidR="00983AE6" w:rsidRPr="00D94C6A" w:rsidRDefault="00983AE6" w:rsidP="00983AE6">
      <w:pPr>
        <w:pStyle w:val="ListBullet"/>
      </w:pPr>
      <w:r w:rsidRPr="00D94C6A">
        <w:t xml:space="preserve">upfront payment of tuition fees </w:t>
      </w:r>
    </w:p>
    <w:p w14:paraId="356D567B" w14:textId="77777777" w:rsidR="00983AE6" w:rsidRPr="00D94C6A" w:rsidRDefault="00983AE6" w:rsidP="00983AE6">
      <w:pPr>
        <w:pStyle w:val="ListBullet"/>
      </w:pPr>
      <w:r w:rsidRPr="00D94C6A">
        <w:lastRenderedPageBreak/>
        <w:t>gap fees or tuition fees paid through a loan from the provider.</w:t>
      </w:r>
    </w:p>
    <w:p w14:paraId="3E9B8446" w14:textId="77777777" w:rsidR="00983AE6" w:rsidRPr="00D94C6A" w:rsidRDefault="00983AE6" w:rsidP="00983AE6">
      <w:r w:rsidRPr="00D94C6A">
        <w:t>Where the student has paid tuition fees upfront to the provider or through a loan from the provider, the provider must refund this amount to the student.</w:t>
      </w:r>
    </w:p>
    <w:p w14:paraId="5FFBB15D" w14:textId="77777777" w:rsidR="00983AE6" w:rsidRPr="009C76AD" w:rsidRDefault="00983AE6" w:rsidP="004F6CCE">
      <w:pPr>
        <w:pStyle w:val="Heading5"/>
      </w:pPr>
      <w:r w:rsidRPr="009C76AD">
        <w:t xml:space="preserve">No penalty for </w:t>
      </w:r>
      <w:r>
        <w:t>withdrawing</w:t>
      </w:r>
      <w:r w:rsidRPr="009C76AD">
        <w:t xml:space="preserve"> enrolment on or before census day</w:t>
      </w:r>
    </w:p>
    <w:p w14:paraId="55D02635" w14:textId="77777777" w:rsidR="00983AE6" w:rsidRPr="00D94C6A" w:rsidRDefault="00983AE6" w:rsidP="00983AE6">
      <w:r w:rsidRPr="00D94C6A">
        <w:t>Where:</w:t>
      </w:r>
    </w:p>
    <w:p w14:paraId="2D56AEE6" w14:textId="77777777" w:rsidR="00983AE6" w:rsidRPr="00D94C6A" w:rsidRDefault="00983AE6" w:rsidP="00983AE6">
      <w:pPr>
        <w:pStyle w:val="ListBullet"/>
      </w:pPr>
      <w:r w:rsidRPr="00D94C6A">
        <w:t xml:space="preserve">a provider enrols a student in a course on the basis that some or all of the tuition fees for the course are covered fees (i.e. covered by a VET student loan); and </w:t>
      </w:r>
    </w:p>
    <w:p w14:paraId="718079C1" w14:textId="77777777" w:rsidR="00983AE6" w:rsidRPr="00D94C6A" w:rsidRDefault="00983AE6" w:rsidP="00983AE6">
      <w:pPr>
        <w:pStyle w:val="ListBullet"/>
      </w:pPr>
      <w:r w:rsidRPr="00D94C6A">
        <w:t xml:space="preserve">on or before a census day for the course the student requests in writing that the provider cancels the enrolment, </w:t>
      </w:r>
    </w:p>
    <w:p w14:paraId="68CBD6E6" w14:textId="6547B2EA" w:rsidR="00983AE6" w:rsidRPr="00D94C6A" w:rsidRDefault="00983AE6" w:rsidP="00983AE6">
      <w:r w:rsidRPr="00D94C6A">
        <w:t>any of the following actions by the provider may give rise to a civil penalty of up to 120 penalty units (currently $</w:t>
      </w:r>
      <w:r w:rsidR="009325D4">
        <w:t>25,200</w:t>
      </w:r>
      <w:r>
        <w:t xml:space="preserve"> for individuals and </w:t>
      </w:r>
      <w:r w:rsidRPr="00170467">
        <w:t>$</w:t>
      </w:r>
      <w:r w:rsidR="009325D4">
        <w:t>126</w:t>
      </w:r>
      <w:r w:rsidRPr="00170467">
        <w:t xml:space="preserve">,000 </w:t>
      </w:r>
      <w:r>
        <w:t>for corporations</w:t>
      </w:r>
      <w:r w:rsidRPr="00D94C6A">
        <w:t>):</w:t>
      </w:r>
    </w:p>
    <w:p w14:paraId="6F002412" w14:textId="77777777" w:rsidR="00983AE6" w:rsidRPr="00D94C6A" w:rsidRDefault="00983AE6" w:rsidP="00983AE6">
      <w:pPr>
        <w:pStyle w:val="ListBullet"/>
      </w:pPr>
      <w:r w:rsidRPr="00D94C6A">
        <w:t xml:space="preserve">the provider fails to cancel the enrolment before the end of the census day </w:t>
      </w:r>
      <w:r w:rsidRPr="00771C40">
        <w:rPr>
          <w:rStyle w:val="ReferenceChar"/>
        </w:rPr>
        <w:t>[Act s 59(1)]</w:t>
      </w:r>
      <w:r w:rsidRPr="00E15FC0">
        <w:rPr>
          <w:color w:val="3333FF"/>
          <w:sz w:val="16"/>
          <w:szCs w:val="16"/>
        </w:rPr>
        <w:t xml:space="preserve"> </w:t>
      </w:r>
      <w:r w:rsidRPr="00D94C6A">
        <w:t>or</w:t>
      </w:r>
    </w:p>
    <w:p w14:paraId="7374C3AB" w14:textId="126AF6BC" w:rsidR="00983AE6" w:rsidRPr="00D94C6A" w:rsidRDefault="00983AE6" w:rsidP="00983AE6">
      <w:pPr>
        <w:pStyle w:val="ListBullet"/>
      </w:pPr>
      <w:r w:rsidRPr="00D94C6A">
        <w:t xml:space="preserve">the provider charges a fee (however described) for cancelling the enrolment </w:t>
      </w:r>
      <w:r w:rsidRPr="00771C40">
        <w:rPr>
          <w:rStyle w:val="ReferenceChar"/>
        </w:rPr>
        <w:t>[Act s 59(2)]</w:t>
      </w:r>
      <w:r w:rsidR="009325D4">
        <w:t>.</w:t>
      </w:r>
    </w:p>
    <w:p w14:paraId="61835E25" w14:textId="77777777" w:rsidR="00983AE6" w:rsidRPr="00D94C6A" w:rsidRDefault="00983AE6" w:rsidP="00983AE6">
      <w:r w:rsidRPr="00D94C6A">
        <w:t>Further the following may also give rise to a civil penalty of up to 120 penalty units – where a provider enrols a student in a course on the basis that some or all of the tuition fees for the course are covered fees; and the provider engages in conduct that:</w:t>
      </w:r>
    </w:p>
    <w:p w14:paraId="07BFA85B" w14:textId="77777777" w:rsidR="00983AE6" w:rsidRPr="00D94C6A" w:rsidRDefault="00983AE6" w:rsidP="00983AE6">
      <w:pPr>
        <w:pStyle w:val="ListBullet"/>
      </w:pPr>
      <w:r w:rsidRPr="00D94C6A">
        <w:t>prevents the student from cancelling the enrolment; or</w:t>
      </w:r>
    </w:p>
    <w:p w14:paraId="5EAA68A6" w14:textId="77777777" w:rsidR="00983AE6" w:rsidRPr="00F41D24" w:rsidRDefault="00983AE6" w:rsidP="00983AE6">
      <w:pPr>
        <w:pStyle w:val="ListBullet"/>
      </w:pPr>
      <w:r w:rsidRPr="00D94C6A">
        <w:t xml:space="preserve">unnecessarily inconveniences the student in relation to cancelling the enrolment </w:t>
      </w:r>
      <w:r w:rsidRPr="00771C40">
        <w:rPr>
          <w:rStyle w:val="ReferenceChar"/>
        </w:rPr>
        <w:t>[Act s 59(3)]</w:t>
      </w:r>
      <w:r w:rsidRPr="00D94C6A">
        <w:t>.</w:t>
      </w:r>
    </w:p>
    <w:p w14:paraId="4A7D8DFB" w14:textId="410D8035" w:rsidR="00983AE6" w:rsidRPr="005131A5" w:rsidRDefault="00983AE6" w:rsidP="00983AE6">
      <w:pPr>
        <w:pStyle w:val="Heading3"/>
      </w:pPr>
      <w:bookmarkStart w:id="1505" w:name="_Toc481649866"/>
      <w:bookmarkStart w:id="1506" w:name="_Toc481650342"/>
      <w:bookmarkStart w:id="1507" w:name="_Toc477960264"/>
      <w:bookmarkStart w:id="1508" w:name="_Toc477960704"/>
      <w:bookmarkStart w:id="1509" w:name="_Toc477961143"/>
      <w:bookmarkStart w:id="1510" w:name="_Toc477961621"/>
      <w:bookmarkStart w:id="1511" w:name="_Toc477962107"/>
      <w:bookmarkStart w:id="1512" w:name="_Toc477962594"/>
      <w:bookmarkStart w:id="1513" w:name="_Toc477963080"/>
      <w:bookmarkStart w:id="1514" w:name="_Toc477963576"/>
      <w:bookmarkStart w:id="1515" w:name="_Toc478042768"/>
      <w:bookmarkStart w:id="1516" w:name="_Toc478367018"/>
      <w:bookmarkStart w:id="1517" w:name="_Toc479083631"/>
      <w:bookmarkStart w:id="1518" w:name="_Processes_and_procedures_2"/>
      <w:bookmarkStart w:id="1519" w:name="_Toc471374415"/>
      <w:bookmarkStart w:id="1520" w:name="_Toc483222886"/>
      <w:bookmarkStart w:id="1521" w:name="_Toc501621221"/>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t>4.8.</w:t>
      </w:r>
      <w:r w:rsidR="00E82CFB">
        <w:t>8</w:t>
      </w:r>
      <w:r w:rsidR="00C36EDC">
        <w:t xml:space="preserve">   </w:t>
      </w:r>
      <w:r w:rsidRPr="005131A5">
        <w:t>Processes and procedures relating to cancellation of enrolment</w:t>
      </w:r>
      <w:bookmarkEnd w:id="1519"/>
      <w:r w:rsidRPr="005131A5">
        <w:t xml:space="preserve"> by a provider</w:t>
      </w:r>
      <w:bookmarkEnd w:id="1520"/>
      <w:bookmarkEnd w:id="1521"/>
    </w:p>
    <w:p w14:paraId="4DBCC2AE" w14:textId="77777777" w:rsidR="00983AE6" w:rsidRPr="00736F23" w:rsidRDefault="00983AE6" w:rsidP="00983AE6">
      <w:r w:rsidRPr="00736F23">
        <w:t>The processes and procedures for cancelling a student’s enrolment</w:t>
      </w:r>
      <w:r>
        <w:t xml:space="preserve"> must</w:t>
      </w:r>
      <w:r w:rsidRPr="00736F23">
        <w:t>:</w:t>
      </w:r>
    </w:p>
    <w:p w14:paraId="5D8567A6" w14:textId="77777777" w:rsidR="00983AE6" w:rsidRPr="00736F23" w:rsidRDefault="00983AE6" w:rsidP="00983AE6">
      <w:pPr>
        <w:pStyle w:val="ListBullet"/>
      </w:pPr>
      <w:r w:rsidRPr="00736F23">
        <w:t>require the provider to inform the student concerned of a proposed cancellation and</w:t>
      </w:r>
    </w:p>
    <w:p w14:paraId="61E62E5C" w14:textId="77777777" w:rsidR="00983AE6" w:rsidRPr="00736F23" w:rsidRDefault="00983AE6" w:rsidP="00983AE6">
      <w:pPr>
        <w:pStyle w:val="ListBullet"/>
      </w:pPr>
      <w:r w:rsidRPr="00736F23">
        <w:t>provide the student with at least 28 days to initiate grievance procedures before the cancellation takes final effect and</w:t>
      </w:r>
    </w:p>
    <w:p w14:paraId="568D5E35" w14:textId="77777777" w:rsidR="00983AE6" w:rsidRPr="00736F23" w:rsidRDefault="00983AE6" w:rsidP="00983AE6">
      <w:pPr>
        <w:pStyle w:val="ListBullet"/>
      </w:pPr>
      <w:r w:rsidRPr="00736F23">
        <w:t>provide for the cancellation to take final effect only after any grievance procedures initiated by the student have been completed and</w:t>
      </w:r>
    </w:p>
    <w:p w14:paraId="0863E87B" w14:textId="77777777" w:rsidR="00983AE6" w:rsidRDefault="00983AE6" w:rsidP="00983AE6">
      <w:pPr>
        <w:pStyle w:val="ListBullet"/>
        <w:rPr>
          <w:sz w:val="20"/>
          <w:szCs w:val="20"/>
        </w:rPr>
      </w:pPr>
      <w:r w:rsidRPr="00736F23">
        <w:t xml:space="preserve">set out the circumstances in which fees for the course, or the part of the course, concerned will, or will not be, refunded </w:t>
      </w:r>
      <w:r w:rsidRPr="00771C40">
        <w:rPr>
          <w:rStyle w:val="ReferenceChar"/>
        </w:rPr>
        <w:t>[Rules s 87]</w:t>
      </w:r>
      <w:r w:rsidRPr="00771C40">
        <w:t>.</w:t>
      </w:r>
    </w:p>
    <w:p w14:paraId="7BDA6642" w14:textId="02B940D3" w:rsidR="00983AE6" w:rsidRPr="005131A5" w:rsidRDefault="00983AE6" w:rsidP="00983AE6">
      <w:pPr>
        <w:pStyle w:val="Heading3"/>
      </w:pPr>
      <w:bookmarkStart w:id="1522" w:name="_Toc481649868"/>
      <w:bookmarkStart w:id="1523" w:name="_Toc481650344"/>
      <w:bookmarkStart w:id="1524" w:name="_Toc477960266"/>
      <w:bookmarkStart w:id="1525" w:name="_Toc477960706"/>
      <w:bookmarkStart w:id="1526" w:name="_Toc477961145"/>
      <w:bookmarkStart w:id="1527" w:name="_Toc477961623"/>
      <w:bookmarkStart w:id="1528" w:name="_Toc477962109"/>
      <w:bookmarkStart w:id="1529" w:name="_Toc477962596"/>
      <w:bookmarkStart w:id="1530" w:name="_Toc477963082"/>
      <w:bookmarkStart w:id="1531" w:name="_Toc477963578"/>
      <w:bookmarkStart w:id="1532" w:name="_Toc478042770"/>
      <w:bookmarkStart w:id="1533" w:name="_Toc478367020"/>
      <w:bookmarkStart w:id="1534" w:name="_Toc479083633"/>
      <w:bookmarkStart w:id="1535" w:name="_Processes_and_procedures_3"/>
      <w:bookmarkStart w:id="1536" w:name="_4.8.9__"/>
      <w:bookmarkStart w:id="1537" w:name="_Toc471374416"/>
      <w:bookmarkStart w:id="1538" w:name="_Toc483222887"/>
      <w:bookmarkStart w:id="1539" w:name="_Toc501621222"/>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t>4.8.</w:t>
      </w:r>
      <w:r w:rsidR="00E82CFB">
        <w:t>9</w:t>
      </w:r>
      <w:r w:rsidR="00C36EDC">
        <w:t xml:space="preserve">   </w:t>
      </w:r>
      <w:r w:rsidRPr="005131A5">
        <w:t>Processes and procedures relating to student</w:t>
      </w:r>
      <w:bookmarkEnd w:id="1537"/>
      <w:r w:rsidRPr="005131A5">
        <w:t xml:space="preserve"> complaints</w:t>
      </w:r>
      <w:bookmarkEnd w:id="1538"/>
      <w:bookmarkEnd w:id="1539"/>
      <w:r w:rsidRPr="005131A5">
        <w:t xml:space="preserve"> </w:t>
      </w:r>
    </w:p>
    <w:p w14:paraId="0491FF4C" w14:textId="77777777" w:rsidR="00983AE6" w:rsidRPr="00736F23" w:rsidRDefault="00983AE6" w:rsidP="00983AE6">
      <w:pPr>
        <w:rPr>
          <w:sz w:val="20"/>
          <w:szCs w:val="20"/>
        </w:rPr>
      </w:pPr>
      <w:r w:rsidRPr="00736F23">
        <w:t>A provider must have a grievance procedure to deal with complaints from its students about academic matters and non-academic matters</w:t>
      </w:r>
      <w:r w:rsidRPr="00736F23">
        <w:rPr>
          <w:sz w:val="20"/>
          <w:szCs w:val="20"/>
        </w:rPr>
        <w:t xml:space="preserve"> </w:t>
      </w:r>
      <w:r w:rsidRPr="00771C40">
        <w:rPr>
          <w:rStyle w:val="ReferenceChar"/>
        </w:rPr>
        <w:t>[Rules s 88]</w:t>
      </w:r>
      <w:r w:rsidRPr="00771C40">
        <w:t>.</w:t>
      </w:r>
    </w:p>
    <w:p w14:paraId="24B1CB9A" w14:textId="77777777" w:rsidR="00983AE6" w:rsidRPr="00736F23" w:rsidRDefault="00983AE6" w:rsidP="00983AE6">
      <w:r w:rsidRPr="00736F23">
        <w:t>The grievance procedure must:</w:t>
      </w:r>
    </w:p>
    <w:p w14:paraId="53DC8DEA" w14:textId="77777777" w:rsidR="00983AE6" w:rsidRPr="00736F23" w:rsidRDefault="00983AE6" w:rsidP="00983AE6">
      <w:pPr>
        <w:pStyle w:val="ListBullet"/>
      </w:pPr>
      <w:r w:rsidRPr="00736F23">
        <w:t>clearly set out the procedure, including required internal and external stages</w:t>
      </w:r>
    </w:p>
    <w:p w14:paraId="4F3D21F9" w14:textId="77777777" w:rsidR="00983AE6" w:rsidRPr="00736F23" w:rsidRDefault="00983AE6" w:rsidP="00983AE6">
      <w:pPr>
        <w:pStyle w:val="ListBullet"/>
      </w:pPr>
      <w:r w:rsidRPr="00736F23">
        <w:t xml:space="preserve">encourage the timely resolution of complaints, including by specifying reasonable periods for dealing with each stage of a complaint </w:t>
      </w:r>
    </w:p>
    <w:p w14:paraId="774D30BC" w14:textId="77777777" w:rsidR="00983AE6" w:rsidRDefault="00983AE6" w:rsidP="00983AE6">
      <w:pPr>
        <w:pStyle w:val="ListBullet"/>
      </w:pPr>
      <w:r w:rsidRPr="0014177D">
        <w:t>contain the internal and external stages</w:t>
      </w:r>
    </w:p>
    <w:p w14:paraId="67538FFC" w14:textId="77777777" w:rsidR="00983AE6" w:rsidRPr="00736F23" w:rsidRDefault="00983AE6" w:rsidP="00983AE6">
      <w:pPr>
        <w:pStyle w:val="ListBullet"/>
      </w:pPr>
      <w:r w:rsidRPr="00736F23">
        <w:t>clearly state that there is no charge for the internal stage or external stage</w:t>
      </w:r>
    </w:p>
    <w:p w14:paraId="0BC7A1C6" w14:textId="77777777" w:rsidR="00983AE6" w:rsidRPr="00736F23" w:rsidRDefault="00983AE6" w:rsidP="00983AE6">
      <w:pPr>
        <w:pStyle w:val="ListBullet"/>
      </w:pPr>
      <w:r w:rsidRPr="00736F23">
        <w:t>provide for implementation of decisions made in following the grievance procedure</w:t>
      </w:r>
    </w:p>
    <w:p w14:paraId="0495D9A3" w14:textId="77777777" w:rsidR="00983AE6" w:rsidRPr="0014177D" w:rsidRDefault="00983AE6" w:rsidP="00983AE6">
      <w:pPr>
        <w:pStyle w:val="ListBullet"/>
      </w:pPr>
      <w:r w:rsidRPr="00736F23">
        <w:t xml:space="preserve">provide </w:t>
      </w:r>
      <w:r w:rsidRPr="0014177D">
        <w:t>for due consideration of recommendations arising from the external stage</w:t>
      </w:r>
      <w:r w:rsidRPr="00736F23" w:rsidDel="008127B6">
        <w:t xml:space="preserve"> </w:t>
      </w:r>
    </w:p>
    <w:p w14:paraId="03CAF83E" w14:textId="77777777" w:rsidR="00983AE6" w:rsidRPr="009325D4" w:rsidRDefault="00983AE6" w:rsidP="00A0727A">
      <w:pPr>
        <w:pStyle w:val="ListBullet"/>
        <w:numPr>
          <w:ilvl w:val="0"/>
          <w:numId w:val="74"/>
        </w:numPr>
      </w:pPr>
      <w:r w:rsidRPr="0014177D">
        <w:t>re</w:t>
      </w:r>
      <w:r w:rsidRPr="009C76AD">
        <w:rPr>
          <w:szCs w:val="16"/>
        </w:rPr>
        <w:t xml:space="preserve">quire </w:t>
      </w:r>
      <w:r w:rsidRPr="009325D4">
        <w:t>the</w:t>
      </w:r>
      <w:r w:rsidRPr="009C76AD">
        <w:rPr>
          <w:szCs w:val="16"/>
        </w:rPr>
        <w:t xml:space="preserve"> provider to allow parties who have used the procedure to access the records of that use, but otherwise keep the records confidential </w:t>
      </w:r>
      <w:r w:rsidRPr="00771C40">
        <w:rPr>
          <w:rStyle w:val="ReferenceChar"/>
        </w:rPr>
        <w:t>[Rules s 88(2)]</w:t>
      </w:r>
      <w:r w:rsidRPr="00736F23">
        <w:t>.</w:t>
      </w:r>
    </w:p>
    <w:p w14:paraId="1CA21494" w14:textId="77777777" w:rsidR="00983AE6" w:rsidRPr="009639E1" w:rsidRDefault="00983AE6" w:rsidP="00F15113">
      <w:pPr>
        <w:pStyle w:val="Heading5"/>
        <w:keepNext/>
        <w:keepLines/>
      </w:pPr>
      <w:bookmarkStart w:id="1540" w:name="_Toc462038529"/>
      <w:bookmarkStart w:id="1541" w:name="_Toc471374418"/>
      <w:bookmarkStart w:id="1542" w:name="_Toc481505238"/>
      <w:bookmarkStart w:id="1543" w:name="_Toc483209559"/>
      <w:bookmarkStart w:id="1544" w:name="_Toc483222888"/>
      <w:r w:rsidRPr="009639E1">
        <w:lastRenderedPageBreak/>
        <w:t>Internal stage</w:t>
      </w:r>
      <w:bookmarkEnd w:id="1540"/>
      <w:bookmarkEnd w:id="1541"/>
      <w:bookmarkEnd w:id="1542"/>
      <w:bookmarkEnd w:id="1543"/>
      <w:bookmarkEnd w:id="1544"/>
      <w:r w:rsidRPr="009639E1">
        <w:t xml:space="preserve"> </w:t>
      </w:r>
    </w:p>
    <w:p w14:paraId="10FC3222" w14:textId="77777777" w:rsidR="00983AE6" w:rsidRPr="00736F23" w:rsidRDefault="00983AE6" w:rsidP="00983AE6">
      <w:r w:rsidRPr="00736F23">
        <w:t>The internal stage of the grievance procedure must include:</w:t>
      </w:r>
    </w:p>
    <w:p w14:paraId="361BF6F4" w14:textId="77777777" w:rsidR="00983AE6" w:rsidRPr="0014177D" w:rsidRDefault="00983AE6" w:rsidP="00A0727A">
      <w:pPr>
        <w:pStyle w:val="ListBullet"/>
        <w:numPr>
          <w:ilvl w:val="0"/>
          <w:numId w:val="74"/>
        </w:numPr>
      </w:pPr>
      <w:r w:rsidRPr="0014177D">
        <w:t>a process for the lodging and hearing of a formal complaint</w:t>
      </w:r>
    </w:p>
    <w:p w14:paraId="69DDB5BF" w14:textId="77777777" w:rsidR="00983AE6" w:rsidRPr="00736F23" w:rsidRDefault="00983AE6" w:rsidP="00A0727A">
      <w:pPr>
        <w:pStyle w:val="ListBullet"/>
        <w:numPr>
          <w:ilvl w:val="0"/>
          <w:numId w:val="74"/>
        </w:numPr>
        <w:rPr>
          <w:spacing w:val="-1"/>
        </w:rPr>
      </w:pPr>
      <w:r w:rsidRPr="0014177D">
        <w:t>a requirement for written notice of a decision on the formal complaint to be given to</w:t>
      </w:r>
      <w:r w:rsidRPr="00736F23">
        <w:rPr>
          <w:spacing w:val="-1"/>
        </w:rPr>
        <w:t xml:space="preserve"> the complainant, with the notice to include:</w:t>
      </w:r>
    </w:p>
    <w:p w14:paraId="799248AF" w14:textId="77777777" w:rsidR="00983AE6" w:rsidRPr="00736F23" w:rsidRDefault="00983AE6" w:rsidP="00A0727A">
      <w:pPr>
        <w:pStyle w:val="ListBullet"/>
        <w:numPr>
          <w:ilvl w:val="1"/>
          <w:numId w:val="42"/>
        </w:numPr>
      </w:pPr>
      <w:r w:rsidRPr="00736F23">
        <w:t xml:space="preserve">the reasons </w:t>
      </w:r>
      <w:r w:rsidRPr="009325D4">
        <w:rPr>
          <w:rFonts w:cstheme="minorHAnsi"/>
        </w:rPr>
        <w:t>for</w:t>
      </w:r>
      <w:r w:rsidRPr="00736F23">
        <w:t xml:space="preserve"> the decision</w:t>
      </w:r>
    </w:p>
    <w:p w14:paraId="7BFB5BC7" w14:textId="4169FC89" w:rsidR="00983AE6" w:rsidRDefault="00983AE6" w:rsidP="00A0727A">
      <w:pPr>
        <w:pStyle w:val="ListBullet"/>
        <w:numPr>
          <w:ilvl w:val="1"/>
          <w:numId w:val="42"/>
        </w:numPr>
      </w:pPr>
      <w:r w:rsidRPr="00736F23">
        <w:t xml:space="preserve">advice about </w:t>
      </w:r>
      <w:r w:rsidRPr="009325D4">
        <w:rPr>
          <w:rFonts w:cstheme="minorHAnsi"/>
        </w:rPr>
        <w:t>how</w:t>
      </w:r>
      <w:r w:rsidRPr="00736F23">
        <w:t xml:space="preserve"> to appeal the decision</w:t>
      </w:r>
    </w:p>
    <w:p w14:paraId="74FCEB62" w14:textId="77777777" w:rsidR="00983AE6" w:rsidRPr="00736F23" w:rsidRDefault="00983AE6" w:rsidP="00A0727A">
      <w:pPr>
        <w:pStyle w:val="ListBullet"/>
        <w:numPr>
          <w:ilvl w:val="0"/>
          <w:numId w:val="40"/>
        </w:numPr>
        <w:rPr>
          <w:spacing w:val="-1"/>
        </w:rPr>
      </w:pPr>
      <w:r w:rsidRPr="00736F23">
        <w:rPr>
          <w:spacing w:val="-1"/>
        </w:rPr>
        <w:t>a process for appealing the decision to an independent senior officer of the provider, or to an internal committee or unit with appropriate expertise</w:t>
      </w:r>
    </w:p>
    <w:p w14:paraId="25DF05D0" w14:textId="77777777" w:rsidR="00983AE6" w:rsidRPr="00736F23" w:rsidRDefault="00983AE6" w:rsidP="00A0727A">
      <w:pPr>
        <w:pStyle w:val="ListBullet"/>
        <w:numPr>
          <w:ilvl w:val="0"/>
          <w:numId w:val="40"/>
        </w:numPr>
        <w:rPr>
          <w:spacing w:val="-1"/>
        </w:rPr>
      </w:pPr>
      <w:r w:rsidRPr="00736F23">
        <w:rPr>
          <w:spacing w:val="-1"/>
        </w:rPr>
        <w:t>a requirement for written notice of the decision on appeal to be given to the appellant, with the notice to include:</w:t>
      </w:r>
    </w:p>
    <w:p w14:paraId="77EED619" w14:textId="77777777" w:rsidR="00983AE6" w:rsidRPr="00736F23" w:rsidRDefault="00983AE6" w:rsidP="00A0727A">
      <w:pPr>
        <w:pStyle w:val="ListBullet"/>
        <w:numPr>
          <w:ilvl w:val="1"/>
          <w:numId w:val="42"/>
        </w:numPr>
        <w:rPr>
          <w:spacing w:val="-1"/>
        </w:rPr>
      </w:pPr>
      <w:r w:rsidRPr="00736F23">
        <w:rPr>
          <w:spacing w:val="-1"/>
        </w:rPr>
        <w:t>the reasons for the decision</w:t>
      </w:r>
    </w:p>
    <w:p w14:paraId="20987F9C" w14:textId="77777777" w:rsidR="00983AE6" w:rsidRPr="00736F23" w:rsidRDefault="00983AE6" w:rsidP="00A0727A">
      <w:pPr>
        <w:pStyle w:val="ListBullet"/>
        <w:numPr>
          <w:ilvl w:val="1"/>
          <w:numId w:val="42"/>
        </w:numPr>
        <w:rPr>
          <w:spacing w:val="-1"/>
        </w:rPr>
      </w:pPr>
      <w:r w:rsidRPr="00736F23">
        <w:rPr>
          <w:spacing w:val="-1"/>
        </w:rPr>
        <w:t>advice about how to have the decision reviewed and</w:t>
      </w:r>
    </w:p>
    <w:p w14:paraId="15644756" w14:textId="77777777" w:rsidR="00983AE6" w:rsidRPr="00736F23" w:rsidRDefault="00983AE6" w:rsidP="00A0727A">
      <w:pPr>
        <w:pStyle w:val="ListBullet"/>
        <w:numPr>
          <w:ilvl w:val="0"/>
          <w:numId w:val="41"/>
        </w:numPr>
      </w:pPr>
      <w:r w:rsidRPr="00736F23">
        <w:rPr>
          <w:spacing w:val="-1"/>
        </w:rPr>
        <w:t>a provision enabling each party to this stage of the procedure to be accompanied or assisted</w:t>
      </w:r>
      <w:r w:rsidRPr="00736F23">
        <w:t xml:space="preserve"> by another person, at that party’s cost </w:t>
      </w:r>
      <w:r w:rsidRPr="00322F3C">
        <w:rPr>
          <w:rStyle w:val="ReferenceChar"/>
        </w:rPr>
        <w:t>[Rules s 88(3)]</w:t>
      </w:r>
      <w:r w:rsidRPr="00736F23">
        <w:t>.</w:t>
      </w:r>
    </w:p>
    <w:p w14:paraId="4311628B" w14:textId="77777777" w:rsidR="00983AE6" w:rsidRPr="009639E1" w:rsidRDefault="00983AE6" w:rsidP="004F6CCE">
      <w:pPr>
        <w:pStyle w:val="Heading5"/>
      </w:pPr>
      <w:bookmarkStart w:id="1545" w:name="_Toc462038530"/>
      <w:bookmarkStart w:id="1546" w:name="_Toc471374419"/>
      <w:bookmarkStart w:id="1547" w:name="_Toc481505239"/>
      <w:bookmarkStart w:id="1548" w:name="_Toc483209560"/>
      <w:bookmarkStart w:id="1549" w:name="_Toc483222889"/>
      <w:r w:rsidRPr="009639E1">
        <w:t>External stage</w:t>
      </w:r>
      <w:bookmarkEnd w:id="1545"/>
      <w:bookmarkEnd w:id="1546"/>
      <w:bookmarkEnd w:id="1547"/>
      <w:bookmarkEnd w:id="1548"/>
      <w:bookmarkEnd w:id="1549"/>
    </w:p>
    <w:p w14:paraId="0CFE4019" w14:textId="77777777" w:rsidR="00983AE6" w:rsidRPr="00736F23" w:rsidRDefault="00983AE6" w:rsidP="00983AE6">
      <w:r w:rsidRPr="00736F23">
        <w:t xml:space="preserve">The external </w:t>
      </w:r>
      <w:r>
        <w:t>stage</w:t>
      </w:r>
      <w:r w:rsidRPr="00736F23">
        <w:t xml:space="preserve"> of the grievance procedure must include:</w:t>
      </w:r>
    </w:p>
    <w:p w14:paraId="10EDAB25" w14:textId="77777777" w:rsidR="00983AE6" w:rsidRPr="00736F23" w:rsidRDefault="00983AE6" w:rsidP="00A0727A">
      <w:pPr>
        <w:pStyle w:val="ListBullet"/>
        <w:numPr>
          <w:ilvl w:val="0"/>
          <w:numId w:val="74"/>
        </w:numPr>
      </w:pPr>
      <w:r w:rsidRPr="00736F23">
        <w:t>a process for having a decision on appeal reviewed by an external and independent person or body with appropriate expertise</w:t>
      </w:r>
    </w:p>
    <w:p w14:paraId="08CB566E" w14:textId="77777777" w:rsidR="00983AE6" w:rsidRPr="00736F23" w:rsidRDefault="00983AE6" w:rsidP="00A0727A">
      <w:pPr>
        <w:pStyle w:val="ListBullet"/>
        <w:numPr>
          <w:ilvl w:val="0"/>
          <w:numId w:val="74"/>
        </w:numPr>
      </w:pPr>
      <w:r w:rsidRPr="00736F23">
        <w:t>a provision enabling each party to the review to be accompanied or assisted by another person at the review, at that party’s cost and</w:t>
      </w:r>
    </w:p>
    <w:p w14:paraId="7BBF5EF9" w14:textId="77777777" w:rsidR="00983AE6" w:rsidRPr="00736F23" w:rsidRDefault="00983AE6" w:rsidP="00A0727A">
      <w:pPr>
        <w:pStyle w:val="ListBullet"/>
        <w:numPr>
          <w:ilvl w:val="0"/>
          <w:numId w:val="74"/>
        </w:numPr>
        <w:rPr>
          <w:sz w:val="20"/>
        </w:rPr>
      </w:pPr>
      <w:r w:rsidRPr="00736F23">
        <w:t xml:space="preserve">a requirement for written notice of the decision on review to be given to each party, with the notice to include the reasons for the decision </w:t>
      </w:r>
      <w:r w:rsidRPr="00771C40">
        <w:rPr>
          <w:rStyle w:val="ReferenceChar"/>
        </w:rPr>
        <w:t>[Rules s 88(4)]</w:t>
      </w:r>
      <w:r w:rsidRPr="00736F23">
        <w:t>.</w:t>
      </w:r>
    </w:p>
    <w:p w14:paraId="77AB6C51" w14:textId="35755463" w:rsidR="00983AE6" w:rsidRPr="009639E1" w:rsidRDefault="009E31CC" w:rsidP="00286A08">
      <w:pPr>
        <w:pStyle w:val="Heading5"/>
      </w:pPr>
      <w:bookmarkStart w:id="1550" w:name="_VET_Student_Loans"/>
      <w:bookmarkEnd w:id="1550"/>
      <w:r>
        <w:t>VET Student Loans Ombudsman</w:t>
      </w:r>
    </w:p>
    <w:p w14:paraId="066754FE" w14:textId="2F536B40" w:rsidR="00983AE6" w:rsidRDefault="00983AE6" w:rsidP="00983AE6">
      <w:r w:rsidRPr="0014177D">
        <w:t>T</w:t>
      </w:r>
      <w:r w:rsidRPr="00736F23">
        <w:t>he establishment of a V</w:t>
      </w:r>
      <w:r>
        <w:t xml:space="preserve">ET </w:t>
      </w:r>
      <w:r w:rsidRPr="00736F23">
        <w:t>S</w:t>
      </w:r>
      <w:r>
        <w:t xml:space="preserve">tudent </w:t>
      </w:r>
      <w:r w:rsidRPr="00736F23">
        <w:t>L</w:t>
      </w:r>
      <w:r>
        <w:t>oans</w:t>
      </w:r>
      <w:r w:rsidRPr="00736F23">
        <w:t xml:space="preserve"> Ombudsman on 1 July 2017 does not remove the requirement for providers to have </w:t>
      </w:r>
      <w:r>
        <w:t xml:space="preserve">a decision on appeal reviewed by an appropriate external independent person. The VET Student Loans Ombudsman will act as the external dispute resolution body to </w:t>
      </w:r>
      <w:r w:rsidRPr="00CA36C4">
        <w:t>conduct investigations, and make recommendations</w:t>
      </w:r>
      <w:r>
        <w:t xml:space="preserve"> in relation to VET loan assistance (i.e. </w:t>
      </w:r>
      <w:r w:rsidR="001D20A6">
        <w:t>VET </w:t>
      </w:r>
      <w:r w:rsidR="00454ED5">
        <w:t>Student Loans</w:t>
      </w:r>
      <w:r>
        <w:t xml:space="preserve"> and VET FEE</w:t>
      </w:r>
      <w:r>
        <w:noBreakHyphen/>
        <w:t xml:space="preserve">HELP) and </w:t>
      </w:r>
      <w:r w:rsidRPr="00CA36C4">
        <w:t xml:space="preserve">compliance by VET </w:t>
      </w:r>
      <w:r>
        <w:t xml:space="preserve">providers with </w:t>
      </w:r>
      <w:r w:rsidRPr="00CA36C4">
        <w:t xml:space="preserve">the Act, the </w:t>
      </w:r>
      <w:r>
        <w:t xml:space="preserve">HESA </w:t>
      </w:r>
      <w:r w:rsidRPr="00CA36C4">
        <w:t>and any legislative instruments under either of those Acts</w:t>
      </w:r>
      <w:r>
        <w:t xml:space="preserve">. </w:t>
      </w:r>
      <w:r w:rsidRPr="0057746E">
        <w:t>The Ombudsman will report on its investigations and recommend that providers and others take action, or stop certain behaviour, to address identified problems and provide redress to affected students.</w:t>
      </w:r>
    </w:p>
    <w:p w14:paraId="45344799" w14:textId="47CD8D03" w:rsidR="00983AE6" w:rsidRDefault="00983AE6" w:rsidP="00983AE6">
      <w:r>
        <w:t>For matters which do not fall within the scope of the VET Student Loans Ombudsman’s jurisdiction (for example matters relating to personal information held by the provider</w:t>
      </w:r>
      <w:r w:rsidR="009E31CC">
        <w:t xml:space="preserve"> or matters that do not relate to loan assistance disputes</w:t>
      </w:r>
      <w:r>
        <w:t xml:space="preserve">), the provider </w:t>
      </w:r>
      <w:r w:rsidR="009E31CC">
        <w:t xml:space="preserve">must </w:t>
      </w:r>
      <w:r>
        <w:t xml:space="preserve">ensure that the external stage of the grievance procedure makes appropriate provision for external and independent review. </w:t>
      </w:r>
    </w:p>
    <w:p w14:paraId="01ABA2AF" w14:textId="77777777" w:rsidR="00983AE6" w:rsidRPr="00736F23" w:rsidRDefault="00983AE6" w:rsidP="00983AE6">
      <w:pPr>
        <w:rPr>
          <w:sz w:val="16"/>
          <w:szCs w:val="16"/>
        </w:rPr>
      </w:pPr>
      <w:r w:rsidRPr="00736F23">
        <w:t xml:space="preserve">The provider must keep appropriate records, for at least </w:t>
      </w:r>
      <w:r w:rsidRPr="00DB7865">
        <w:t>5</w:t>
      </w:r>
      <w:r w:rsidRPr="00736F23">
        <w:t xml:space="preserve"> years, for each use of the grievance procedure</w:t>
      </w:r>
      <w:r w:rsidRPr="00736F23">
        <w:rPr>
          <w:sz w:val="20"/>
        </w:rPr>
        <w:t xml:space="preserve"> </w:t>
      </w:r>
      <w:r w:rsidRPr="00771C40">
        <w:rPr>
          <w:rStyle w:val="ReferenceChar"/>
        </w:rPr>
        <w:t>[Rules s 105(g)]</w:t>
      </w:r>
      <w:r w:rsidRPr="00771C40">
        <w:t>.</w:t>
      </w:r>
    </w:p>
    <w:p w14:paraId="64143826" w14:textId="6CA7F871" w:rsidR="009E31CC" w:rsidRPr="0016660E" w:rsidRDefault="009E31CC" w:rsidP="00286A08">
      <w:pPr>
        <w:pStyle w:val="Heading5"/>
      </w:pPr>
      <w:bookmarkStart w:id="1551" w:name="_Toc477960270"/>
      <w:bookmarkStart w:id="1552" w:name="_Toc477960710"/>
      <w:bookmarkStart w:id="1553" w:name="_Toc477961149"/>
      <w:bookmarkStart w:id="1554" w:name="_Toc477961627"/>
      <w:bookmarkStart w:id="1555" w:name="_Toc477962113"/>
      <w:bookmarkStart w:id="1556" w:name="_Toc477962600"/>
      <w:bookmarkStart w:id="1557" w:name="_Toc477963086"/>
      <w:bookmarkStart w:id="1558" w:name="_Toc477963582"/>
      <w:bookmarkStart w:id="1559" w:name="_Toc478042774"/>
      <w:bookmarkStart w:id="1560" w:name="_Toc478367024"/>
      <w:bookmarkStart w:id="1561" w:name="_Toc479083637"/>
      <w:bookmarkStart w:id="1562" w:name="_Toc477960271"/>
      <w:bookmarkStart w:id="1563" w:name="_Toc477960711"/>
      <w:bookmarkStart w:id="1564" w:name="_Toc477961150"/>
      <w:bookmarkStart w:id="1565" w:name="_Toc477961628"/>
      <w:bookmarkStart w:id="1566" w:name="_Toc477962114"/>
      <w:bookmarkStart w:id="1567" w:name="_Toc477962601"/>
      <w:bookmarkStart w:id="1568" w:name="_Toc477963087"/>
      <w:bookmarkStart w:id="1569" w:name="_Toc477963583"/>
      <w:bookmarkStart w:id="1570" w:name="_Toc478042775"/>
      <w:bookmarkStart w:id="1571" w:name="_Toc478367025"/>
      <w:bookmarkStart w:id="1572" w:name="_Toc479083638"/>
      <w:bookmarkStart w:id="1573" w:name="_Toc477960272"/>
      <w:bookmarkStart w:id="1574" w:name="_Toc477960712"/>
      <w:bookmarkStart w:id="1575" w:name="_Toc477961151"/>
      <w:bookmarkStart w:id="1576" w:name="_Toc477961629"/>
      <w:bookmarkStart w:id="1577" w:name="_Toc477962115"/>
      <w:bookmarkStart w:id="1578" w:name="_Toc477962602"/>
      <w:bookmarkStart w:id="1579" w:name="_Toc477963088"/>
      <w:bookmarkStart w:id="1580" w:name="_Toc477963584"/>
      <w:bookmarkStart w:id="1581" w:name="_Toc478042776"/>
      <w:bookmarkStart w:id="1582" w:name="_Toc478367026"/>
      <w:bookmarkStart w:id="1583" w:name="_Toc479083639"/>
      <w:bookmarkStart w:id="1584" w:name="_Toc477960273"/>
      <w:bookmarkStart w:id="1585" w:name="_Toc477960713"/>
      <w:bookmarkStart w:id="1586" w:name="_Toc477961152"/>
      <w:bookmarkStart w:id="1587" w:name="_Toc477961630"/>
      <w:bookmarkStart w:id="1588" w:name="_Toc477962116"/>
      <w:bookmarkStart w:id="1589" w:name="_Toc477962603"/>
      <w:bookmarkStart w:id="1590" w:name="_Toc477963089"/>
      <w:bookmarkStart w:id="1591" w:name="_Toc477963585"/>
      <w:bookmarkStart w:id="1592" w:name="_Toc478042777"/>
      <w:bookmarkStart w:id="1593" w:name="_Toc478367027"/>
      <w:bookmarkStart w:id="1594" w:name="_Toc479083640"/>
      <w:bookmarkStart w:id="1595" w:name="_Toc477960274"/>
      <w:bookmarkStart w:id="1596" w:name="_Toc477960714"/>
      <w:bookmarkStart w:id="1597" w:name="_Toc477961153"/>
      <w:bookmarkStart w:id="1598" w:name="_Toc477961631"/>
      <w:bookmarkStart w:id="1599" w:name="_Toc477962117"/>
      <w:bookmarkStart w:id="1600" w:name="_Toc477962604"/>
      <w:bookmarkStart w:id="1601" w:name="_Toc477963090"/>
      <w:bookmarkStart w:id="1602" w:name="_Toc477963586"/>
      <w:bookmarkStart w:id="1603" w:name="_Toc478042778"/>
      <w:bookmarkStart w:id="1604" w:name="_Toc478367028"/>
      <w:bookmarkStart w:id="1605" w:name="_Toc479083641"/>
      <w:bookmarkStart w:id="1606" w:name="_Toc477960275"/>
      <w:bookmarkStart w:id="1607" w:name="_Toc477960715"/>
      <w:bookmarkStart w:id="1608" w:name="_Toc477961154"/>
      <w:bookmarkStart w:id="1609" w:name="_Toc477961632"/>
      <w:bookmarkStart w:id="1610" w:name="_Toc477962118"/>
      <w:bookmarkStart w:id="1611" w:name="_Toc477962605"/>
      <w:bookmarkStart w:id="1612" w:name="_Toc477963091"/>
      <w:bookmarkStart w:id="1613" w:name="_Toc477963587"/>
      <w:bookmarkStart w:id="1614" w:name="_Toc478042779"/>
      <w:bookmarkStart w:id="1615" w:name="_Toc478367029"/>
      <w:bookmarkStart w:id="1616" w:name="_Toc479083642"/>
      <w:bookmarkStart w:id="1617" w:name="_Toc477960276"/>
      <w:bookmarkStart w:id="1618" w:name="_Toc477960716"/>
      <w:bookmarkStart w:id="1619" w:name="_Toc477961155"/>
      <w:bookmarkStart w:id="1620" w:name="_Toc477961633"/>
      <w:bookmarkStart w:id="1621" w:name="_Toc477962119"/>
      <w:bookmarkStart w:id="1622" w:name="_Toc477962606"/>
      <w:bookmarkStart w:id="1623" w:name="_Toc477963092"/>
      <w:bookmarkStart w:id="1624" w:name="_Toc477963588"/>
      <w:bookmarkStart w:id="1625" w:name="_Toc478042780"/>
      <w:bookmarkStart w:id="1626" w:name="_Toc478367030"/>
      <w:bookmarkStart w:id="1627" w:name="_Toc479083643"/>
      <w:bookmarkStart w:id="1628" w:name="_Toc477960277"/>
      <w:bookmarkStart w:id="1629" w:name="_Toc477960717"/>
      <w:bookmarkStart w:id="1630" w:name="_Toc477961156"/>
      <w:bookmarkStart w:id="1631" w:name="_Toc477961634"/>
      <w:bookmarkStart w:id="1632" w:name="_Toc477962120"/>
      <w:bookmarkStart w:id="1633" w:name="_Toc477962607"/>
      <w:bookmarkStart w:id="1634" w:name="_Toc477963093"/>
      <w:bookmarkStart w:id="1635" w:name="_Toc477963589"/>
      <w:bookmarkStart w:id="1636" w:name="_Toc478042781"/>
      <w:bookmarkStart w:id="1637" w:name="_Toc478367031"/>
      <w:bookmarkStart w:id="1638" w:name="_Toc479083644"/>
      <w:bookmarkStart w:id="1639" w:name="_Toc477960278"/>
      <w:bookmarkStart w:id="1640" w:name="_Toc477960718"/>
      <w:bookmarkStart w:id="1641" w:name="_Toc477961157"/>
      <w:bookmarkStart w:id="1642" w:name="_Toc477961635"/>
      <w:bookmarkStart w:id="1643" w:name="_Toc477962121"/>
      <w:bookmarkStart w:id="1644" w:name="_Toc477962608"/>
      <w:bookmarkStart w:id="1645" w:name="_Toc477963094"/>
      <w:bookmarkStart w:id="1646" w:name="_Toc477963590"/>
      <w:bookmarkStart w:id="1647" w:name="_Toc478042782"/>
      <w:bookmarkStart w:id="1648" w:name="_Toc478367032"/>
      <w:bookmarkStart w:id="1649" w:name="_Toc479083645"/>
      <w:bookmarkStart w:id="1650" w:name="_Toc477960279"/>
      <w:bookmarkStart w:id="1651" w:name="_Toc477960719"/>
      <w:bookmarkStart w:id="1652" w:name="_Toc477961158"/>
      <w:bookmarkStart w:id="1653" w:name="_Toc477961636"/>
      <w:bookmarkStart w:id="1654" w:name="_Toc477962122"/>
      <w:bookmarkStart w:id="1655" w:name="_Toc477962609"/>
      <w:bookmarkStart w:id="1656" w:name="_Toc477963095"/>
      <w:bookmarkStart w:id="1657" w:name="_Toc477963591"/>
      <w:bookmarkStart w:id="1658" w:name="_Toc478042783"/>
      <w:bookmarkStart w:id="1659" w:name="_Toc478367033"/>
      <w:bookmarkStart w:id="1660" w:name="_Toc479083646"/>
      <w:bookmarkStart w:id="1661" w:name="_Toc477960280"/>
      <w:bookmarkStart w:id="1662" w:name="_Toc477960720"/>
      <w:bookmarkStart w:id="1663" w:name="_Toc477961159"/>
      <w:bookmarkStart w:id="1664" w:name="_Toc477961637"/>
      <w:bookmarkStart w:id="1665" w:name="_Toc477962123"/>
      <w:bookmarkStart w:id="1666" w:name="_Toc477962610"/>
      <w:bookmarkStart w:id="1667" w:name="_Toc477963096"/>
      <w:bookmarkStart w:id="1668" w:name="_Toc477963592"/>
      <w:bookmarkStart w:id="1669" w:name="_Toc478042784"/>
      <w:bookmarkStart w:id="1670" w:name="_Toc478367034"/>
      <w:bookmarkStart w:id="1671" w:name="_Toc479083647"/>
      <w:bookmarkStart w:id="1672" w:name="_Toc477960281"/>
      <w:bookmarkStart w:id="1673" w:name="_Toc477960721"/>
      <w:bookmarkStart w:id="1674" w:name="_Toc477961160"/>
      <w:bookmarkStart w:id="1675" w:name="_Toc477961638"/>
      <w:bookmarkStart w:id="1676" w:name="_Toc477962124"/>
      <w:bookmarkStart w:id="1677" w:name="_Toc477962611"/>
      <w:bookmarkStart w:id="1678" w:name="_Toc477963097"/>
      <w:bookmarkStart w:id="1679" w:name="_Toc477963593"/>
      <w:bookmarkStart w:id="1680" w:name="_Toc478042785"/>
      <w:bookmarkStart w:id="1681" w:name="_Toc478367035"/>
      <w:bookmarkStart w:id="1682" w:name="_Toc479083648"/>
      <w:bookmarkStart w:id="1683" w:name="_Toc477960282"/>
      <w:bookmarkStart w:id="1684" w:name="_Toc477960722"/>
      <w:bookmarkStart w:id="1685" w:name="_Toc477961161"/>
      <w:bookmarkStart w:id="1686" w:name="_Toc477961639"/>
      <w:bookmarkStart w:id="1687" w:name="_Toc477962125"/>
      <w:bookmarkStart w:id="1688" w:name="_Toc477962612"/>
      <w:bookmarkStart w:id="1689" w:name="_Toc477963098"/>
      <w:bookmarkStart w:id="1690" w:name="_Toc477963594"/>
      <w:bookmarkStart w:id="1691" w:name="_Toc478042786"/>
      <w:bookmarkStart w:id="1692" w:name="_Toc478367036"/>
      <w:bookmarkStart w:id="1693" w:name="_Toc479083649"/>
      <w:bookmarkStart w:id="1694" w:name="_Toc477960283"/>
      <w:bookmarkStart w:id="1695" w:name="_Toc477960723"/>
      <w:bookmarkStart w:id="1696" w:name="_Toc477961162"/>
      <w:bookmarkStart w:id="1697" w:name="_Toc477961640"/>
      <w:bookmarkStart w:id="1698" w:name="_Toc477962126"/>
      <w:bookmarkStart w:id="1699" w:name="_Toc477962613"/>
      <w:bookmarkStart w:id="1700" w:name="_Toc477963099"/>
      <w:bookmarkStart w:id="1701" w:name="_Toc477963595"/>
      <w:bookmarkStart w:id="1702" w:name="_Toc478042787"/>
      <w:bookmarkStart w:id="1703" w:name="_Toc478367037"/>
      <w:bookmarkStart w:id="1704" w:name="_Toc479083650"/>
      <w:bookmarkStart w:id="1705" w:name="_Toc477960284"/>
      <w:bookmarkStart w:id="1706" w:name="_Toc477960724"/>
      <w:bookmarkStart w:id="1707" w:name="_Toc477961163"/>
      <w:bookmarkStart w:id="1708" w:name="_Toc477961641"/>
      <w:bookmarkStart w:id="1709" w:name="_Toc477962127"/>
      <w:bookmarkStart w:id="1710" w:name="_Toc477962614"/>
      <w:bookmarkStart w:id="1711" w:name="_Toc477963100"/>
      <w:bookmarkStart w:id="1712" w:name="_Toc477963596"/>
      <w:bookmarkStart w:id="1713" w:name="_Toc478042788"/>
      <w:bookmarkStart w:id="1714" w:name="_Toc478367038"/>
      <w:bookmarkStart w:id="1715" w:name="_Toc479083651"/>
      <w:bookmarkStart w:id="1716" w:name="_Toc477960285"/>
      <w:bookmarkStart w:id="1717" w:name="_Toc477960725"/>
      <w:bookmarkStart w:id="1718" w:name="_Toc477961164"/>
      <w:bookmarkStart w:id="1719" w:name="_Toc477961642"/>
      <w:bookmarkStart w:id="1720" w:name="_Toc477962128"/>
      <w:bookmarkStart w:id="1721" w:name="_Toc477962615"/>
      <w:bookmarkStart w:id="1722" w:name="_Toc477963101"/>
      <w:bookmarkStart w:id="1723" w:name="_Toc477963597"/>
      <w:bookmarkStart w:id="1724" w:name="_Toc478042789"/>
      <w:bookmarkStart w:id="1725" w:name="_Toc478367039"/>
      <w:bookmarkStart w:id="1726" w:name="_Toc479083652"/>
      <w:bookmarkStart w:id="1727" w:name="_Toc477960286"/>
      <w:bookmarkStart w:id="1728" w:name="_Toc477960726"/>
      <w:bookmarkStart w:id="1729" w:name="_Toc477961165"/>
      <w:bookmarkStart w:id="1730" w:name="_Toc477961643"/>
      <w:bookmarkStart w:id="1731" w:name="_Toc477962129"/>
      <w:bookmarkStart w:id="1732" w:name="_Toc477962616"/>
      <w:bookmarkStart w:id="1733" w:name="_Toc477963102"/>
      <w:bookmarkStart w:id="1734" w:name="_Toc477963598"/>
      <w:bookmarkStart w:id="1735" w:name="_Toc478042790"/>
      <w:bookmarkStart w:id="1736" w:name="_Toc478367040"/>
      <w:bookmarkStart w:id="1737" w:name="_Toc479083653"/>
      <w:bookmarkStart w:id="1738" w:name="_Toc477960287"/>
      <w:bookmarkStart w:id="1739" w:name="_Toc477960727"/>
      <w:bookmarkStart w:id="1740" w:name="_Toc477961166"/>
      <w:bookmarkStart w:id="1741" w:name="_Toc477961644"/>
      <w:bookmarkStart w:id="1742" w:name="_Toc477962130"/>
      <w:bookmarkStart w:id="1743" w:name="_Toc477962617"/>
      <w:bookmarkStart w:id="1744" w:name="_Toc477963103"/>
      <w:bookmarkStart w:id="1745" w:name="_Toc477963599"/>
      <w:bookmarkStart w:id="1746" w:name="_Toc478042791"/>
      <w:bookmarkStart w:id="1747" w:name="_Toc478367041"/>
      <w:bookmarkStart w:id="1748" w:name="_Toc479083654"/>
      <w:bookmarkStart w:id="1749" w:name="_Toc477960288"/>
      <w:bookmarkStart w:id="1750" w:name="_Toc477960728"/>
      <w:bookmarkStart w:id="1751" w:name="_Toc477961167"/>
      <w:bookmarkStart w:id="1752" w:name="_Toc477961645"/>
      <w:bookmarkStart w:id="1753" w:name="_Toc477962131"/>
      <w:bookmarkStart w:id="1754" w:name="_Toc477962618"/>
      <w:bookmarkStart w:id="1755" w:name="_Toc477963104"/>
      <w:bookmarkStart w:id="1756" w:name="_Toc477963600"/>
      <w:bookmarkStart w:id="1757" w:name="_Toc478042792"/>
      <w:bookmarkStart w:id="1758" w:name="_Toc478367042"/>
      <w:bookmarkStart w:id="1759" w:name="_Toc479083655"/>
      <w:bookmarkStart w:id="1760" w:name="_Toc477960289"/>
      <w:bookmarkStart w:id="1761" w:name="_Toc477960729"/>
      <w:bookmarkStart w:id="1762" w:name="_Toc477961168"/>
      <w:bookmarkStart w:id="1763" w:name="_Toc477961646"/>
      <w:bookmarkStart w:id="1764" w:name="_Toc477962132"/>
      <w:bookmarkStart w:id="1765" w:name="_Toc477962619"/>
      <w:bookmarkStart w:id="1766" w:name="_Toc477963105"/>
      <w:bookmarkStart w:id="1767" w:name="_Toc477963601"/>
      <w:bookmarkStart w:id="1768" w:name="_Toc478042793"/>
      <w:bookmarkStart w:id="1769" w:name="_Toc478367043"/>
      <w:bookmarkStart w:id="1770" w:name="_Toc479083656"/>
      <w:bookmarkStart w:id="1771" w:name="_Toc477960290"/>
      <w:bookmarkStart w:id="1772" w:name="_Toc477960730"/>
      <w:bookmarkStart w:id="1773" w:name="_Toc477961169"/>
      <w:bookmarkStart w:id="1774" w:name="_Toc477961647"/>
      <w:bookmarkStart w:id="1775" w:name="_Toc477962133"/>
      <w:bookmarkStart w:id="1776" w:name="_Toc477962620"/>
      <w:bookmarkStart w:id="1777" w:name="_Toc477963106"/>
      <w:bookmarkStart w:id="1778" w:name="_Toc477963602"/>
      <w:bookmarkStart w:id="1779" w:name="_Toc478042794"/>
      <w:bookmarkStart w:id="1780" w:name="_Toc478367044"/>
      <w:bookmarkStart w:id="1781" w:name="_Toc479083657"/>
      <w:bookmarkStart w:id="1782" w:name="_Toc477960291"/>
      <w:bookmarkStart w:id="1783" w:name="_Toc477960731"/>
      <w:bookmarkStart w:id="1784" w:name="_Toc477961170"/>
      <w:bookmarkStart w:id="1785" w:name="_Toc477961648"/>
      <w:bookmarkStart w:id="1786" w:name="_Toc477962134"/>
      <w:bookmarkStart w:id="1787" w:name="_Toc477962621"/>
      <w:bookmarkStart w:id="1788" w:name="_Toc477963107"/>
      <w:bookmarkStart w:id="1789" w:name="_Toc477963603"/>
      <w:bookmarkStart w:id="1790" w:name="_Toc478042795"/>
      <w:bookmarkStart w:id="1791" w:name="_Toc478367045"/>
      <w:bookmarkStart w:id="1792" w:name="_Toc479083658"/>
      <w:bookmarkStart w:id="1793" w:name="_Toc477960292"/>
      <w:bookmarkStart w:id="1794" w:name="_Toc477960732"/>
      <w:bookmarkStart w:id="1795" w:name="_Toc477961171"/>
      <w:bookmarkStart w:id="1796" w:name="_Toc477961649"/>
      <w:bookmarkStart w:id="1797" w:name="_Toc477962135"/>
      <w:bookmarkStart w:id="1798" w:name="_Toc477962622"/>
      <w:bookmarkStart w:id="1799" w:name="_Toc477963108"/>
      <w:bookmarkStart w:id="1800" w:name="_Toc477963604"/>
      <w:bookmarkStart w:id="1801" w:name="_Toc478042796"/>
      <w:bookmarkStart w:id="1802" w:name="_Toc478367046"/>
      <w:bookmarkStart w:id="1803" w:name="_Toc479083659"/>
      <w:bookmarkStart w:id="1804" w:name="_Toc477960293"/>
      <w:bookmarkStart w:id="1805" w:name="_Toc477960733"/>
      <w:bookmarkStart w:id="1806" w:name="_Toc477961172"/>
      <w:bookmarkStart w:id="1807" w:name="_Toc477961650"/>
      <w:bookmarkStart w:id="1808" w:name="_Toc477962136"/>
      <w:bookmarkStart w:id="1809" w:name="_Toc477962623"/>
      <w:bookmarkStart w:id="1810" w:name="_Toc477963109"/>
      <w:bookmarkStart w:id="1811" w:name="_Toc477963605"/>
      <w:bookmarkStart w:id="1812" w:name="_Toc478042797"/>
      <w:bookmarkStart w:id="1813" w:name="_Toc478367047"/>
      <w:bookmarkStart w:id="1814" w:name="_Toc479083660"/>
      <w:bookmarkStart w:id="1815" w:name="_Toc477960294"/>
      <w:bookmarkStart w:id="1816" w:name="_Toc477960734"/>
      <w:bookmarkStart w:id="1817" w:name="_Toc477961173"/>
      <w:bookmarkStart w:id="1818" w:name="_Toc477961651"/>
      <w:bookmarkStart w:id="1819" w:name="_Toc477962137"/>
      <w:bookmarkStart w:id="1820" w:name="_Toc477962624"/>
      <w:bookmarkStart w:id="1821" w:name="_Toc477963110"/>
      <w:bookmarkStart w:id="1822" w:name="_Toc477963606"/>
      <w:bookmarkStart w:id="1823" w:name="_Toc478042798"/>
      <w:bookmarkStart w:id="1824" w:name="_Toc478367048"/>
      <w:bookmarkStart w:id="1825" w:name="_Toc479083661"/>
      <w:bookmarkStart w:id="1826" w:name="_Toc477960295"/>
      <w:bookmarkStart w:id="1827" w:name="_Toc477960735"/>
      <w:bookmarkStart w:id="1828" w:name="_Toc477961174"/>
      <w:bookmarkStart w:id="1829" w:name="_Toc477961652"/>
      <w:bookmarkStart w:id="1830" w:name="_Toc477962138"/>
      <w:bookmarkStart w:id="1831" w:name="_Toc477962625"/>
      <w:bookmarkStart w:id="1832" w:name="_Toc477963111"/>
      <w:bookmarkStart w:id="1833" w:name="_Toc477963607"/>
      <w:bookmarkStart w:id="1834" w:name="_Toc478042799"/>
      <w:bookmarkStart w:id="1835" w:name="_Toc478367049"/>
      <w:bookmarkStart w:id="1836" w:name="_Toc479083662"/>
      <w:bookmarkStart w:id="1837" w:name="_Toc477960296"/>
      <w:bookmarkStart w:id="1838" w:name="_Toc477960736"/>
      <w:bookmarkStart w:id="1839" w:name="_Toc477961175"/>
      <w:bookmarkStart w:id="1840" w:name="_Toc477961653"/>
      <w:bookmarkStart w:id="1841" w:name="_Toc477962139"/>
      <w:bookmarkStart w:id="1842" w:name="_Toc477962626"/>
      <w:bookmarkStart w:id="1843" w:name="_Toc477963112"/>
      <w:bookmarkStart w:id="1844" w:name="_Toc477963608"/>
      <w:bookmarkStart w:id="1845" w:name="_Toc478042800"/>
      <w:bookmarkStart w:id="1846" w:name="_Toc478367050"/>
      <w:bookmarkStart w:id="1847" w:name="_Toc479083663"/>
      <w:bookmarkStart w:id="1848" w:name="_Toc477960297"/>
      <w:bookmarkStart w:id="1849" w:name="_Toc477960737"/>
      <w:bookmarkStart w:id="1850" w:name="_Toc477961176"/>
      <w:bookmarkStart w:id="1851" w:name="_Toc477961654"/>
      <w:bookmarkStart w:id="1852" w:name="_Toc477962140"/>
      <w:bookmarkStart w:id="1853" w:name="_Toc477962627"/>
      <w:bookmarkStart w:id="1854" w:name="_Toc477963113"/>
      <w:bookmarkStart w:id="1855" w:name="_Toc477963609"/>
      <w:bookmarkStart w:id="1856" w:name="_Toc478042801"/>
      <w:bookmarkStart w:id="1857" w:name="_Toc478367051"/>
      <w:bookmarkStart w:id="1858" w:name="_Toc479083664"/>
      <w:bookmarkStart w:id="1859" w:name="_Toc477960298"/>
      <w:bookmarkStart w:id="1860" w:name="_Toc477960738"/>
      <w:bookmarkStart w:id="1861" w:name="_Toc477961177"/>
      <w:bookmarkStart w:id="1862" w:name="_Toc477961655"/>
      <w:bookmarkStart w:id="1863" w:name="_Toc477962141"/>
      <w:bookmarkStart w:id="1864" w:name="_Toc477962628"/>
      <w:bookmarkStart w:id="1865" w:name="_Toc477963114"/>
      <w:bookmarkStart w:id="1866" w:name="_Toc477963610"/>
      <w:bookmarkStart w:id="1867" w:name="_Toc478042802"/>
      <w:bookmarkStart w:id="1868" w:name="_Toc478367052"/>
      <w:bookmarkStart w:id="1869" w:name="_Toc479083665"/>
      <w:bookmarkStart w:id="1870" w:name="_Toc477960299"/>
      <w:bookmarkStart w:id="1871" w:name="_Toc477960739"/>
      <w:bookmarkStart w:id="1872" w:name="_Toc477961178"/>
      <w:bookmarkStart w:id="1873" w:name="_Toc477961656"/>
      <w:bookmarkStart w:id="1874" w:name="_Toc477962142"/>
      <w:bookmarkStart w:id="1875" w:name="_Toc477962629"/>
      <w:bookmarkStart w:id="1876" w:name="_Toc477963115"/>
      <w:bookmarkStart w:id="1877" w:name="_Toc477963611"/>
      <w:bookmarkStart w:id="1878" w:name="_Toc478042803"/>
      <w:bookmarkStart w:id="1879" w:name="_Toc478367053"/>
      <w:bookmarkStart w:id="1880" w:name="_Toc479083666"/>
      <w:bookmarkStart w:id="1881" w:name="_Toc477960300"/>
      <w:bookmarkStart w:id="1882" w:name="_Toc477960740"/>
      <w:bookmarkStart w:id="1883" w:name="_Toc477961179"/>
      <w:bookmarkStart w:id="1884" w:name="_Toc477961657"/>
      <w:bookmarkStart w:id="1885" w:name="_Toc477962143"/>
      <w:bookmarkStart w:id="1886" w:name="_Toc477962630"/>
      <w:bookmarkStart w:id="1887" w:name="_Toc477963116"/>
      <w:bookmarkStart w:id="1888" w:name="_Toc477963612"/>
      <w:bookmarkStart w:id="1889" w:name="_Toc478042804"/>
      <w:bookmarkStart w:id="1890" w:name="_Toc478367054"/>
      <w:bookmarkStart w:id="1891" w:name="_Toc479083667"/>
      <w:bookmarkStart w:id="1892" w:name="_Toc477960301"/>
      <w:bookmarkStart w:id="1893" w:name="_Toc477960741"/>
      <w:bookmarkStart w:id="1894" w:name="_Toc477961180"/>
      <w:bookmarkStart w:id="1895" w:name="_Toc477961658"/>
      <w:bookmarkStart w:id="1896" w:name="_Toc477962144"/>
      <w:bookmarkStart w:id="1897" w:name="_Toc477962631"/>
      <w:bookmarkStart w:id="1898" w:name="_Toc477963117"/>
      <w:bookmarkStart w:id="1899" w:name="_Toc477963613"/>
      <w:bookmarkStart w:id="1900" w:name="_Toc478042805"/>
      <w:bookmarkStart w:id="1901" w:name="_Toc478367055"/>
      <w:bookmarkStart w:id="1902" w:name="_Toc479083668"/>
      <w:bookmarkStart w:id="1903" w:name="_Toc477960302"/>
      <w:bookmarkStart w:id="1904" w:name="_Toc477960742"/>
      <w:bookmarkStart w:id="1905" w:name="_Toc477961181"/>
      <w:bookmarkStart w:id="1906" w:name="_Toc477961659"/>
      <w:bookmarkStart w:id="1907" w:name="_Toc477962145"/>
      <w:bookmarkStart w:id="1908" w:name="_Toc477962632"/>
      <w:bookmarkStart w:id="1909" w:name="_Toc477963118"/>
      <w:bookmarkStart w:id="1910" w:name="_Toc477963614"/>
      <w:bookmarkStart w:id="1911" w:name="_Toc478042806"/>
      <w:bookmarkStart w:id="1912" w:name="_Toc478367056"/>
      <w:bookmarkStart w:id="1913" w:name="_Toc479083669"/>
      <w:bookmarkStart w:id="1914" w:name="_Toc477960303"/>
      <w:bookmarkStart w:id="1915" w:name="_Toc477960743"/>
      <w:bookmarkStart w:id="1916" w:name="_Toc477961182"/>
      <w:bookmarkStart w:id="1917" w:name="_Toc477961660"/>
      <w:bookmarkStart w:id="1918" w:name="_Toc477962146"/>
      <w:bookmarkStart w:id="1919" w:name="_Toc477962633"/>
      <w:bookmarkStart w:id="1920" w:name="_Toc477963119"/>
      <w:bookmarkStart w:id="1921" w:name="_Toc477963615"/>
      <w:bookmarkStart w:id="1922" w:name="_Toc478042807"/>
      <w:bookmarkStart w:id="1923" w:name="_Toc478367057"/>
      <w:bookmarkStart w:id="1924" w:name="_Toc479083670"/>
      <w:bookmarkStart w:id="1925" w:name="_Toc477960304"/>
      <w:bookmarkStart w:id="1926" w:name="_Toc477960744"/>
      <w:bookmarkStart w:id="1927" w:name="_Toc477961183"/>
      <w:bookmarkStart w:id="1928" w:name="_Toc477961661"/>
      <w:bookmarkStart w:id="1929" w:name="_Toc477962147"/>
      <w:bookmarkStart w:id="1930" w:name="_Toc477962634"/>
      <w:bookmarkStart w:id="1931" w:name="_Toc477963120"/>
      <w:bookmarkStart w:id="1932" w:name="_Toc477963616"/>
      <w:bookmarkStart w:id="1933" w:name="_Toc478042808"/>
      <w:bookmarkStart w:id="1934" w:name="_Toc478367058"/>
      <w:bookmarkStart w:id="1935" w:name="_Toc479083671"/>
      <w:bookmarkStart w:id="1936" w:name="_Toc477960305"/>
      <w:bookmarkStart w:id="1937" w:name="_Toc477960745"/>
      <w:bookmarkStart w:id="1938" w:name="_Toc477961184"/>
      <w:bookmarkStart w:id="1939" w:name="_Toc477961662"/>
      <w:bookmarkStart w:id="1940" w:name="_Toc477962148"/>
      <w:bookmarkStart w:id="1941" w:name="_Toc477962635"/>
      <w:bookmarkStart w:id="1942" w:name="_Toc477963121"/>
      <w:bookmarkStart w:id="1943" w:name="_Toc477963617"/>
      <w:bookmarkStart w:id="1944" w:name="_Toc478042809"/>
      <w:bookmarkStart w:id="1945" w:name="_Toc478367059"/>
      <w:bookmarkStart w:id="1946" w:name="_Toc479083672"/>
      <w:bookmarkStart w:id="1947" w:name="_Toc477960306"/>
      <w:bookmarkStart w:id="1948" w:name="_Toc477960746"/>
      <w:bookmarkStart w:id="1949" w:name="_Toc477961185"/>
      <w:bookmarkStart w:id="1950" w:name="_Toc477961663"/>
      <w:bookmarkStart w:id="1951" w:name="_Toc477962149"/>
      <w:bookmarkStart w:id="1952" w:name="_Toc477962636"/>
      <w:bookmarkStart w:id="1953" w:name="_Toc477963122"/>
      <w:bookmarkStart w:id="1954" w:name="_Toc477963618"/>
      <w:bookmarkStart w:id="1955" w:name="_Toc478042810"/>
      <w:bookmarkStart w:id="1956" w:name="_Toc478367060"/>
      <w:bookmarkStart w:id="1957" w:name="_Toc479083673"/>
      <w:bookmarkStart w:id="1958" w:name="_Toc477960307"/>
      <w:bookmarkStart w:id="1959" w:name="_Toc477960747"/>
      <w:bookmarkStart w:id="1960" w:name="_Toc477961186"/>
      <w:bookmarkStart w:id="1961" w:name="_Toc477961664"/>
      <w:bookmarkStart w:id="1962" w:name="_Toc477962150"/>
      <w:bookmarkStart w:id="1963" w:name="_Toc477962637"/>
      <w:bookmarkStart w:id="1964" w:name="_Toc477963123"/>
      <w:bookmarkStart w:id="1965" w:name="_Toc477963619"/>
      <w:bookmarkStart w:id="1966" w:name="_Toc478042811"/>
      <w:bookmarkStart w:id="1967" w:name="_Toc478367061"/>
      <w:bookmarkStart w:id="1968" w:name="_Toc479083674"/>
      <w:bookmarkStart w:id="1969" w:name="_Toc477960308"/>
      <w:bookmarkStart w:id="1970" w:name="_Toc477960748"/>
      <w:bookmarkStart w:id="1971" w:name="_Toc477961187"/>
      <w:bookmarkStart w:id="1972" w:name="_Toc477961665"/>
      <w:bookmarkStart w:id="1973" w:name="_Toc477962151"/>
      <w:bookmarkStart w:id="1974" w:name="_Toc477962638"/>
      <w:bookmarkStart w:id="1975" w:name="_Toc477963124"/>
      <w:bookmarkStart w:id="1976" w:name="_Toc477963620"/>
      <w:bookmarkStart w:id="1977" w:name="_Toc478042812"/>
      <w:bookmarkStart w:id="1978" w:name="_Toc478367062"/>
      <w:bookmarkStart w:id="1979" w:name="_Toc479083675"/>
      <w:bookmarkStart w:id="1980" w:name="_Toc477960309"/>
      <w:bookmarkStart w:id="1981" w:name="_Toc477960749"/>
      <w:bookmarkStart w:id="1982" w:name="_Toc477961188"/>
      <w:bookmarkStart w:id="1983" w:name="_Toc477961666"/>
      <w:bookmarkStart w:id="1984" w:name="_Toc477962152"/>
      <w:bookmarkStart w:id="1985" w:name="_Toc477962639"/>
      <w:bookmarkStart w:id="1986" w:name="_Toc477963125"/>
      <w:bookmarkStart w:id="1987" w:name="_Toc477963621"/>
      <w:bookmarkStart w:id="1988" w:name="_Toc478042813"/>
      <w:bookmarkStart w:id="1989" w:name="_Toc478367063"/>
      <w:bookmarkStart w:id="1990" w:name="_Toc479083676"/>
      <w:bookmarkStart w:id="1991" w:name="_Toc477960310"/>
      <w:bookmarkStart w:id="1992" w:name="_Toc477960750"/>
      <w:bookmarkStart w:id="1993" w:name="_Toc477961189"/>
      <w:bookmarkStart w:id="1994" w:name="_Toc477961667"/>
      <w:bookmarkStart w:id="1995" w:name="_Toc477962153"/>
      <w:bookmarkStart w:id="1996" w:name="_Toc477962640"/>
      <w:bookmarkStart w:id="1997" w:name="_Toc477963126"/>
      <w:bookmarkStart w:id="1998" w:name="_Toc477963622"/>
      <w:bookmarkStart w:id="1999" w:name="_Toc478042814"/>
      <w:bookmarkStart w:id="2000" w:name="_Toc478367064"/>
      <w:bookmarkStart w:id="2001" w:name="_Toc479083677"/>
      <w:bookmarkStart w:id="2002" w:name="_Toc477960311"/>
      <w:bookmarkStart w:id="2003" w:name="_Toc477960751"/>
      <w:bookmarkStart w:id="2004" w:name="_Toc477961190"/>
      <w:bookmarkStart w:id="2005" w:name="_Toc477961668"/>
      <w:bookmarkStart w:id="2006" w:name="_Toc477962154"/>
      <w:bookmarkStart w:id="2007" w:name="_Toc477962641"/>
      <w:bookmarkStart w:id="2008" w:name="_Toc477963127"/>
      <w:bookmarkStart w:id="2009" w:name="_Toc477963623"/>
      <w:bookmarkStart w:id="2010" w:name="_Toc478042815"/>
      <w:bookmarkStart w:id="2011" w:name="_Toc478367065"/>
      <w:bookmarkStart w:id="2012" w:name="_Toc479083678"/>
      <w:bookmarkStart w:id="2013" w:name="_Toc477960312"/>
      <w:bookmarkStart w:id="2014" w:name="_Toc477960752"/>
      <w:bookmarkStart w:id="2015" w:name="_Toc477961191"/>
      <w:bookmarkStart w:id="2016" w:name="_Toc477961669"/>
      <w:bookmarkStart w:id="2017" w:name="_Toc477962155"/>
      <w:bookmarkStart w:id="2018" w:name="_Toc477962642"/>
      <w:bookmarkStart w:id="2019" w:name="_Toc477963128"/>
      <w:bookmarkStart w:id="2020" w:name="_Toc477963624"/>
      <w:bookmarkStart w:id="2021" w:name="_Toc478042816"/>
      <w:bookmarkStart w:id="2022" w:name="_Toc478367066"/>
      <w:bookmarkStart w:id="2023" w:name="_Toc479083679"/>
      <w:bookmarkStart w:id="2024" w:name="_Toc477960313"/>
      <w:bookmarkStart w:id="2025" w:name="_Toc477960753"/>
      <w:bookmarkStart w:id="2026" w:name="_Toc477961192"/>
      <w:bookmarkStart w:id="2027" w:name="_Toc477961670"/>
      <w:bookmarkStart w:id="2028" w:name="_Toc477962156"/>
      <w:bookmarkStart w:id="2029" w:name="_Toc477962643"/>
      <w:bookmarkStart w:id="2030" w:name="_Toc477963129"/>
      <w:bookmarkStart w:id="2031" w:name="_Toc477963625"/>
      <w:bookmarkStart w:id="2032" w:name="_Toc478042817"/>
      <w:bookmarkStart w:id="2033" w:name="_Toc478367067"/>
      <w:bookmarkStart w:id="2034" w:name="_Toc479083680"/>
      <w:bookmarkStart w:id="2035" w:name="_Toc477960314"/>
      <w:bookmarkStart w:id="2036" w:name="_Toc477960754"/>
      <w:bookmarkStart w:id="2037" w:name="_Toc477961193"/>
      <w:bookmarkStart w:id="2038" w:name="_Toc477961671"/>
      <w:bookmarkStart w:id="2039" w:name="_Toc477962157"/>
      <w:bookmarkStart w:id="2040" w:name="_Toc477962644"/>
      <w:bookmarkStart w:id="2041" w:name="_Toc477963130"/>
      <w:bookmarkStart w:id="2042" w:name="_Toc477963626"/>
      <w:bookmarkStart w:id="2043" w:name="_Toc478042818"/>
      <w:bookmarkStart w:id="2044" w:name="_Toc478367068"/>
      <w:bookmarkStart w:id="2045" w:name="_Toc479083681"/>
      <w:bookmarkStart w:id="2046" w:name="_Toc477960315"/>
      <w:bookmarkStart w:id="2047" w:name="_Toc477960755"/>
      <w:bookmarkStart w:id="2048" w:name="_Toc477961194"/>
      <w:bookmarkStart w:id="2049" w:name="_Toc477961672"/>
      <w:bookmarkStart w:id="2050" w:name="_Toc477962158"/>
      <w:bookmarkStart w:id="2051" w:name="_Toc477962645"/>
      <w:bookmarkStart w:id="2052" w:name="_Toc477963131"/>
      <w:bookmarkStart w:id="2053" w:name="_Toc477963627"/>
      <w:bookmarkStart w:id="2054" w:name="_Toc478042819"/>
      <w:bookmarkStart w:id="2055" w:name="_Toc478367069"/>
      <w:bookmarkStart w:id="2056" w:name="_Toc479083682"/>
      <w:bookmarkStart w:id="2057" w:name="_Toc477960316"/>
      <w:bookmarkStart w:id="2058" w:name="_Toc477960756"/>
      <w:bookmarkStart w:id="2059" w:name="_Toc477961195"/>
      <w:bookmarkStart w:id="2060" w:name="_Toc477961673"/>
      <w:bookmarkStart w:id="2061" w:name="_Toc477962159"/>
      <w:bookmarkStart w:id="2062" w:name="_Toc477962646"/>
      <w:bookmarkStart w:id="2063" w:name="_Toc477963132"/>
      <w:bookmarkStart w:id="2064" w:name="_Toc477963628"/>
      <w:bookmarkStart w:id="2065" w:name="_Toc478042820"/>
      <w:bookmarkStart w:id="2066" w:name="_Toc478367070"/>
      <w:bookmarkStart w:id="2067" w:name="_Toc479083683"/>
      <w:bookmarkStart w:id="2068" w:name="_Toc477960317"/>
      <w:bookmarkStart w:id="2069" w:name="_Toc477960757"/>
      <w:bookmarkStart w:id="2070" w:name="_Toc477961196"/>
      <w:bookmarkStart w:id="2071" w:name="_Toc477961674"/>
      <w:bookmarkStart w:id="2072" w:name="_Toc477962160"/>
      <w:bookmarkStart w:id="2073" w:name="_Toc477962647"/>
      <w:bookmarkStart w:id="2074" w:name="_Toc477963133"/>
      <w:bookmarkStart w:id="2075" w:name="_Toc477963629"/>
      <w:bookmarkStart w:id="2076" w:name="_Toc478042821"/>
      <w:bookmarkStart w:id="2077" w:name="_Toc478367071"/>
      <w:bookmarkStart w:id="2078" w:name="_Toc479083684"/>
      <w:bookmarkStart w:id="2079" w:name="_Toc477960318"/>
      <w:bookmarkStart w:id="2080" w:name="_Toc477960758"/>
      <w:bookmarkStart w:id="2081" w:name="_Toc477961197"/>
      <w:bookmarkStart w:id="2082" w:name="_Toc477961675"/>
      <w:bookmarkStart w:id="2083" w:name="_Toc477962161"/>
      <w:bookmarkStart w:id="2084" w:name="_Toc477962648"/>
      <w:bookmarkStart w:id="2085" w:name="_Toc477963134"/>
      <w:bookmarkStart w:id="2086" w:name="_Toc477963630"/>
      <w:bookmarkStart w:id="2087" w:name="_Toc478042822"/>
      <w:bookmarkStart w:id="2088" w:name="_Toc478367072"/>
      <w:bookmarkStart w:id="2089" w:name="_Toc479083685"/>
      <w:bookmarkStart w:id="2090" w:name="_Toc477960319"/>
      <w:bookmarkStart w:id="2091" w:name="_Toc477960759"/>
      <w:bookmarkStart w:id="2092" w:name="_Toc477961198"/>
      <w:bookmarkStart w:id="2093" w:name="_Toc477961676"/>
      <w:bookmarkStart w:id="2094" w:name="_Toc477962162"/>
      <w:bookmarkStart w:id="2095" w:name="_Toc477962649"/>
      <w:bookmarkStart w:id="2096" w:name="_Toc477963135"/>
      <w:bookmarkStart w:id="2097" w:name="_Toc477963631"/>
      <w:bookmarkStart w:id="2098" w:name="_Toc478042823"/>
      <w:bookmarkStart w:id="2099" w:name="_Toc478367073"/>
      <w:bookmarkStart w:id="2100" w:name="_Toc479083686"/>
      <w:bookmarkStart w:id="2101" w:name="_Toc477960320"/>
      <w:bookmarkStart w:id="2102" w:name="_Toc477960760"/>
      <w:bookmarkStart w:id="2103" w:name="_Toc477961199"/>
      <w:bookmarkStart w:id="2104" w:name="_Toc477961677"/>
      <w:bookmarkStart w:id="2105" w:name="_Toc477962163"/>
      <w:bookmarkStart w:id="2106" w:name="_Toc477962650"/>
      <w:bookmarkStart w:id="2107" w:name="_Toc477963136"/>
      <w:bookmarkStart w:id="2108" w:name="_Toc477963632"/>
      <w:bookmarkStart w:id="2109" w:name="_Toc478042824"/>
      <w:bookmarkStart w:id="2110" w:name="_Toc478367074"/>
      <w:bookmarkStart w:id="2111" w:name="_Toc479083687"/>
      <w:bookmarkStart w:id="2112" w:name="_Toc477960321"/>
      <w:bookmarkStart w:id="2113" w:name="_Toc477960761"/>
      <w:bookmarkStart w:id="2114" w:name="_Toc477961200"/>
      <w:bookmarkStart w:id="2115" w:name="_Toc477961678"/>
      <w:bookmarkStart w:id="2116" w:name="_Toc477962164"/>
      <w:bookmarkStart w:id="2117" w:name="_Toc477962651"/>
      <w:bookmarkStart w:id="2118" w:name="_Toc477963137"/>
      <w:bookmarkStart w:id="2119" w:name="_Toc477963633"/>
      <w:bookmarkStart w:id="2120" w:name="_Toc478042825"/>
      <w:bookmarkStart w:id="2121" w:name="_Toc478367075"/>
      <w:bookmarkStart w:id="2122" w:name="_Toc479083688"/>
      <w:bookmarkStart w:id="2123" w:name="_Toc477960322"/>
      <w:bookmarkStart w:id="2124" w:name="_Toc477960762"/>
      <w:bookmarkStart w:id="2125" w:name="_Toc477961201"/>
      <w:bookmarkStart w:id="2126" w:name="_Toc477961679"/>
      <w:bookmarkStart w:id="2127" w:name="_Toc477962165"/>
      <w:bookmarkStart w:id="2128" w:name="_Toc477962652"/>
      <w:bookmarkStart w:id="2129" w:name="_Toc477963138"/>
      <w:bookmarkStart w:id="2130" w:name="_Toc477963634"/>
      <w:bookmarkStart w:id="2131" w:name="_Toc478042826"/>
      <w:bookmarkStart w:id="2132" w:name="_Toc478367076"/>
      <w:bookmarkStart w:id="2133" w:name="_Toc479083689"/>
      <w:bookmarkStart w:id="2134" w:name="_Toc477960323"/>
      <w:bookmarkStart w:id="2135" w:name="_Toc477960763"/>
      <w:bookmarkStart w:id="2136" w:name="_Toc477961202"/>
      <w:bookmarkStart w:id="2137" w:name="_Toc477961680"/>
      <w:bookmarkStart w:id="2138" w:name="_Toc477962166"/>
      <w:bookmarkStart w:id="2139" w:name="_Toc477962653"/>
      <w:bookmarkStart w:id="2140" w:name="_Toc477963139"/>
      <w:bookmarkStart w:id="2141" w:name="_Toc477963635"/>
      <w:bookmarkStart w:id="2142" w:name="_Toc478042827"/>
      <w:bookmarkStart w:id="2143" w:name="_Toc478367077"/>
      <w:bookmarkStart w:id="2144" w:name="_Toc479083690"/>
      <w:bookmarkStart w:id="2145" w:name="_Toc477960324"/>
      <w:bookmarkStart w:id="2146" w:name="_Toc477960764"/>
      <w:bookmarkStart w:id="2147" w:name="_Toc477961203"/>
      <w:bookmarkStart w:id="2148" w:name="_Toc477961681"/>
      <w:bookmarkStart w:id="2149" w:name="_Toc477962167"/>
      <w:bookmarkStart w:id="2150" w:name="_Toc477962654"/>
      <w:bookmarkStart w:id="2151" w:name="_Toc477963140"/>
      <w:bookmarkStart w:id="2152" w:name="_Toc477963636"/>
      <w:bookmarkStart w:id="2153" w:name="_Toc478042828"/>
      <w:bookmarkStart w:id="2154" w:name="_Toc478367078"/>
      <w:bookmarkStart w:id="2155" w:name="_Toc479083691"/>
      <w:bookmarkStart w:id="2156" w:name="_Toc477960325"/>
      <w:bookmarkStart w:id="2157" w:name="_Toc477960765"/>
      <w:bookmarkStart w:id="2158" w:name="_Toc477961204"/>
      <w:bookmarkStart w:id="2159" w:name="_Toc477961682"/>
      <w:bookmarkStart w:id="2160" w:name="_Toc477962168"/>
      <w:bookmarkStart w:id="2161" w:name="_Toc477962655"/>
      <w:bookmarkStart w:id="2162" w:name="_Toc477963141"/>
      <w:bookmarkStart w:id="2163" w:name="_Toc477963637"/>
      <w:bookmarkStart w:id="2164" w:name="_Toc478042829"/>
      <w:bookmarkStart w:id="2165" w:name="_Toc478367079"/>
      <w:bookmarkStart w:id="2166" w:name="_Toc479083692"/>
      <w:bookmarkStart w:id="2167" w:name="_Toc477960326"/>
      <w:bookmarkStart w:id="2168" w:name="_Toc477960766"/>
      <w:bookmarkStart w:id="2169" w:name="_Toc477961205"/>
      <w:bookmarkStart w:id="2170" w:name="_Toc477961683"/>
      <w:bookmarkStart w:id="2171" w:name="_Toc477962169"/>
      <w:bookmarkStart w:id="2172" w:name="_Toc477962656"/>
      <w:bookmarkStart w:id="2173" w:name="_Toc477963142"/>
      <w:bookmarkStart w:id="2174" w:name="_Toc477963638"/>
      <w:bookmarkStart w:id="2175" w:name="_Toc478042830"/>
      <w:bookmarkStart w:id="2176" w:name="_Toc478367080"/>
      <w:bookmarkStart w:id="2177" w:name="_Toc479083693"/>
      <w:bookmarkStart w:id="2178" w:name="_Toc477960327"/>
      <w:bookmarkStart w:id="2179" w:name="_Toc477960767"/>
      <w:bookmarkStart w:id="2180" w:name="_Toc477961206"/>
      <w:bookmarkStart w:id="2181" w:name="_Toc477961684"/>
      <w:bookmarkStart w:id="2182" w:name="_Toc477962170"/>
      <w:bookmarkStart w:id="2183" w:name="_Toc477962657"/>
      <w:bookmarkStart w:id="2184" w:name="_Toc477963143"/>
      <w:bookmarkStart w:id="2185" w:name="_Toc477963639"/>
      <w:bookmarkStart w:id="2186" w:name="_Toc478042831"/>
      <w:bookmarkStart w:id="2187" w:name="_Toc478367081"/>
      <w:bookmarkStart w:id="2188" w:name="_Toc479083694"/>
      <w:bookmarkStart w:id="2189" w:name="_Toc477960328"/>
      <w:bookmarkStart w:id="2190" w:name="_Toc477960768"/>
      <w:bookmarkStart w:id="2191" w:name="_Toc477961207"/>
      <w:bookmarkStart w:id="2192" w:name="_Toc477961685"/>
      <w:bookmarkStart w:id="2193" w:name="_Toc477962171"/>
      <w:bookmarkStart w:id="2194" w:name="_Toc477962658"/>
      <w:bookmarkStart w:id="2195" w:name="_Toc477963144"/>
      <w:bookmarkStart w:id="2196" w:name="_Toc477963640"/>
      <w:bookmarkStart w:id="2197" w:name="_Toc478042832"/>
      <w:bookmarkStart w:id="2198" w:name="_Toc478367082"/>
      <w:bookmarkStart w:id="2199" w:name="_Toc479083695"/>
      <w:bookmarkStart w:id="2200" w:name="_Toc477960329"/>
      <w:bookmarkStart w:id="2201" w:name="_Toc477960769"/>
      <w:bookmarkStart w:id="2202" w:name="_Toc477961208"/>
      <w:bookmarkStart w:id="2203" w:name="_Toc477961686"/>
      <w:bookmarkStart w:id="2204" w:name="_Toc477962172"/>
      <w:bookmarkStart w:id="2205" w:name="_Toc477962659"/>
      <w:bookmarkStart w:id="2206" w:name="_Toc477963145"/>
      <w:bookmarkStart w:id="2207" w:name="_Toc477963641"/>
      <w:bookmarkStart w:id="2208" w:name="_Toc478042833"/>
      <w:bookmarkStart w:id="2209" w:name="_Toc478367083"/>
      <w:bookmarkStart w:id="2210" w:name="_Toc479083696"/>
      <w:bookmarkStart w:id="2211" w:name="_Toc477960330"/>
      <w:bookmarkStart w:id="2212" w:name="_Toc477960770"/>
      <w:bookmarkStart w:id="2213" w:name="_Toc477961209"/>
      <w:bookmarkStart w:id="2214" w:name="_Toc477961687"/>
      <w:bookmarkStart w:id="2215" w:name="_Toc477962173"/>
      <w:bookmarkStart w:id="2216" w:name="_Toc477962660"/>
      <w:bookmarkStart w:id="2217" w:name="_Toc477963146"/>
      <w:bookmarkStart w:id="2218" w:name="_Toc477963642"/>
      <w:bookmarkStart w:id="2219" w:name="_Toc478042834"/>
      <w:bookmarkStart w:id="2220" w:name="_Toc478367084"/>
      <w:bookmarkStart w:id="2221" w:name="_Toc479083697"/>
      <w:bookmarkStart w:id="2222" w:name="_Toc477960331"/>
      <w:bookmarkStart w:id="2223" w:name="_Toc477960771"/>
      <w:bookmarkStart w:id="2224" w:name="_Toc477961210"/>
      <w:bookmarkStart w:id="2225" w:name="_Toc477961688"/>
      <w:bookmarkStart w:id="2226" w:name="_Toc477962174"/>
      <w:bookmarkStart w:id="2227" w:name="_Toc477962661"/>
      <w:bookmarkStart w:id="2228" w:name="_Toc477963147"/>
      <w:bookmarkStart w:id="2229" w:name="_Toc477963643"/>
      <w:bookmarkStart w:id="2230" w:name="_Toc478042835"/>
      <w:bookmarkStart w:id="2231" w:name="_Toc478367085"/>
      <w:bookmarkStart w:id="2232" w:name="_Toc479083698"/>
      <w:bookmarkStart w:id="2233" w:name="_Toc477960332"/>
      <w:bookmarkStart w:id="2234" w:name="_Toc477960772"/>
      <w:bookmarkStart w:id="2235" w:name="_Toc477961211"/>
      <w:bookmarkStart w:id="2236" w:name="_Toc477961689"/>
      <w:bookmarkStart w:id="2237" w:name="_Toc477962175"/>
      <w:bookmarkStart w:id="2238" w:name="_Toc477962662"/>
      <w:bookmarkStart w:id="2239" w:name="_Toc477963148"/>
      <w:bookmarkStart w:id="2240" w:name="_Toc477963644"/>
      <w:bookmarkStart w:id="2241" w:name="_Toc478042836"/>
      <w:bookmarkStart w:id="2242" w:name="_Toc478367086"/>
      <w:bookmarkStart w:id="2243" w:name="_Toc479083699"/>
      <w:bookmarkStart w:id="2244" w:name="_Toc477960333"/>
      <w:bookmarkStart w:id="2245" w:name="_Toc477960773"/>
      <w:bookmarkStart w:id="2246" w:name="_Toc477961212"/>
      <w:bookmarkStart w:id="2247" w:name="_Toc477961690"/>
      <w:bookmarkStart w:id="2248" w:name="_Toc477962176"/>
      <w:bookmarkStart w:id="2249" w:name="_Toc477962663"/>
      <w:bookmarkStart w:id="2250" w:name="_Toc477963149"/>
      <w:bookmarkStart w:id="2251" w:name="_Toc477963645"/>
      <w:bookmarkStart w:id="2252" w:name="_Toc478042837"/>
      <w:bookmarkStart w:id="2253" w:name="_Toc478367087"/>
      <w:bookmarkStart w:id="2254" w:name="_Toc479083700"/>
      <w:bookmarkStart w:id="2255" w:name="_Toc477960334"/>
      <w:bookmarkStart w:id="2256" w:name="_Toc477960774"/>
      <w:bookmarkStart w:id="2257" w:name="_Toc477961213"/>
      <w:bookmarkStart w:id="2258" w:name="_Toc477961691"/>
      <w:bookmarkStart w:id="2259" w:name="_Toc477962177"/>
      <w:bookmarkStart w:id="2260" w:name="_Toc477962664"/>
      <w:bookmarkStart w:id="2261" w:name="_Toc477963150"/>
      <w:bookmarkStart w:id="2262" w:name="_Toc477963646"/>
      <w:bookmarkStart w:id="2263" w:name="_Toc478042838"/>
      <w:bookmarkStart w:id="2264" w:name="_Toc478367088"/>
      <w:bookmarkStart w:id="2265" w:name="_Toc479083701"/>
      <w:bookmarkStart w:id="2266" w:name="_Toc477960335"/>
      <w:bookmarkStart w:id="2267" w:name="_Toc477960775"/>
      <w:bookmarkStart w:id="2268" w:name="_Toc477961214"/>
      <w:bookmarkStart w:id="2269" w:name="_Toc477961692"/>
      <w:bookmarkStart w:id="2270" w:name="_Toc477962178"/>
      <w:bookmarkStart w:id="2271" w:name="_Toc477962665"/>
      <w:bookmarkStart w:id="2272" w:name="_Toc477963151"/>
      <w:bookmarkStart w:id="2273" w:name="_Toc477963647"/>
      <w:bookmarkStart w:id="2274" w:name="_Toc478042839"/>
      <w:bookmarkStart w:id="2275" w:name="_Toc478367089"/>
      <w:bookmarkStart w:id="2276" w:name="_Toc479083702"/>
      <w:bookmarkStart w:id="2277" w:name="_Toc477960336"/>
      <w:bookmarkStart w:id="2278" w:name="_Toc477960776"/>
      <w:bookmarkStart w:id="2279" w:name="_Toc477961215"/>
      <w:bookmarkStart w:id="2280" w:name="_Toc477961693"/>
      <w:bookmarkStart w:id="2281" w:name="_Toc477962179"/>
      <w:bookmarkStart w:id="2282" w:name="_Toc477962666"/>
      <w:bookmarkStart w:id="2283" w:name="_Toc477963152"/>
      <w:bookmarkStart w:id="2284" w:name="_Toc477963648"/>
      <w:bookmarkStart w:id="2285" w:name="_Toc478042840"/>
      <w:bookmarkStart w:id="2286" w:name="_Toc478367090"/>
      <w:bookmarkStart w:id="2287" w:name="_Toc479083703"/>
      <w:bookmarkStart w:id="2288" w:name="_Toc477960337"/>
      <w:bookmarkStart w:id="2289" w:name="_Toc477960777"/>
      <w:bookmarkStart w:id="2290" w:name="_Toc477961216"/>
      <w:bookmarkStart w:id="2291" w:name="_Toc477961694"/>
      <w:bookmarkStart w:id="2292" w:name="_Toc477962180"/>
      <w:bookmarkStart w:id="2293" w:name="_Toc477962667"/>
      <w:bookmarkStart w:id="2294" w:name="_Toc477963153"/>
      <w:bookmarkStart w:id="2295" w:name="_Toc477963649"/>
      <w:bookmarkStart w:id="2296" w:name="_Toc478042841"/>
      <w:bookmarkStart w:id="2297" w:name="_Toc478367091"/>
      <w:bookmarkStart w:id="2298" w:name="_Toc479083704"/>
      <w:bookmarkStart w:id="2299" w:name="_Toc477960338"/>
      <w:bookmarkStart w:id="2300" w:name="_Toc477960778"/>
      <w:bookmarkStart w:id="2301" w:name="_Toc477961217"/>
      <w:bookmarkStart w:id="2302" w:name="_Toc477961695"/>
      <w:bookmarkStart w:id="2303" w:name="_Toc477962181"/>
      <w:bookmarkStart w:id="2304" w:name="_Toc477962668"/>
      <w:bookmarkStart w:id="2305" w:name="_Toc477963154"/>
      <w:bookmarkStart w:id="2306" w:name="_Toc477963650"/>
      <w:bookmarkStart w:id="2307" w:name="_Toc478042842"/>
      <w:bookmarkStart w:id="2308" w:name="_Toc478367092"/>
      <w:bookmarkStart w:id="2309" w:name="_Toc479083705"/>
      <w:bookmarkStart w:id="2310" w:name="_Toc477960339"/>
      <w:bookmarkStart w:id="2311" w:name="_Toc477960779"/>
      <w:bookmarkStart w:id="2312" w:name="_Toc477961218"/>
      <w:bookmarkStart w:id="2313" w:name="_Toc477961696"/>
      <w:bookmarkStart w:id="2314" w:name="_Toc477962182"/>
      <w:bookmarkStart w:id="2315" w:name="_Toc477962669"/>
      <w:bookmarkStart w:id="2316" w:name="_Toc477963155"/>
      <w:bookmarkStart w:id="2317" w:name="_Toc477963651"/>
      <w:bookmarkStart w:id="2318" w:name="_Toc478042843"/>
      <w:bookmarkStart w:id="2319" w:name="_Toc478367093"/>
      <w:bookmarkStart w:id="2320" w:name="_Toc479083706"/>
      <w:bookmarkStart w:id="2321" w:name="_Toc477960340"/>
      <w:bookmarkStart w:id="2322" w:name="_Toc477960780"/>
      <w:bookmarkStart w:id="2323" w:name="_Toc477961219"/>
      <w:bookmarkStart w:id="2324" w:name="_Toc477961697"/>
      <w:bookmarkStart w:id="2325" w:name="_Toc477962183"/>
      <w:bookmarkStart w:id="2326" w:name="_Toc477962670"/>
      <w:bookmarkStart w:id="2327" w:name="_Toc477963156"/>
      <w:bookmarkStart w:id="2328" w:name="_Toc477963652"/>
      <w:bookmarkStart w:id="2329" w:name="_Toc478042844"/>
      <w:bookmarkStart w:id="2330" w:name="_Toc478367094"/>
      <w:bookmarkStart w:id="2331" w:name="_Toc479083707"/>
      <w:bookmarkStart w:id="2332" w:name="_Toc477960341"/>
      <w:bookmarkStart w:id="2333" w:name="_Toc477960781"/>
      <w:bookmarkStart w:id="2334" w:name="_Toc477961220"/>
      <w:bookmarkStart w:id="2335" w:name="_Toc477961698"/>
      <w:bookmarkStart w:id="2336" w:name="_Toc477962184"/>
      <w:bookmarkStart w:id="2337" w:name="_Toc477962671"/>
      <w:bookmarkStart w:id="2338" w:name="_Toc477963157"/>
      <w:bookmarkStart w:id="2339" w:name="_Toc477963653"/>
      <w:bookmarkStart w:id="2340" w:name="_Toc478042845"/>
      <w:bookmarkStart w:id="2341" w:name="_Toc478367095"/>
      <w:bookmarkStart w:id="2342" w:name="_Toc479083708"/>
      <w:bookmarkStart w:id="2343" w:name="_Toc477960342"/>
      <w:bookmarkStart w:id="2344" w:name="_Toc477960782"/>
      <w:bookmarkStart w:id="2345" w:name="_Toc477961221"/>
      <w:bookmarkStart w:id="2346" w:name="_Toc477961699"/>
      <w:bookmarkStart w:id="2347" w:name="_Toc477962185"/>
      <w:bookmarkStart w:id="2348" w:name="_Toc477962672"/>
      <w:bookmarkStart w:id="2349" w:name="_Toc477963158"/>
      <w:bookmarkStart w:id="2350" w:name="_Toc477963654"/>
      <w:bookmarkStart w:id="2351" w:name="_Toc478042846"/>
      <w:bookmarkStart w:id="2352" w:name="_Toc478367096"/>
      <w:bookmarkStart w:id="2353" w:name="_Toc479083709"/>
      <w:bookmarkStart w:id="2354" w:name="_Toc477960343"/>
      <w:bookmarkStart w:id="2355" w:name="_Toc477960783"/>
      <w:bookmarkStart w:id="2356" w:name="_Toc477961222"/>
      <w:bookmarkStart w:id="2357" w:name="_Toc477961700"/>
      <w:bookmarkStart w:id="2358" w:name="_Toc477962186"/>
      <w:bookmarkStart w:id="2359" w:name="_Toc477962673"/>
      <w:bookmarkStart w:id="2360" w:name="_Toc477963159"/>
      <w:bookmarkStart w:id="2361" w:name="_Toc477963655"/>
      <w:bookmarkStart w:id="2362" w:name="_Toc478042847"/>
      <w:bookmarkStart w:id="2363" w:name="_Toc478367097"/>
      <w:bookmarkStart w:id="2364" w:name="_Toc479083710"/>
      <w:bookmarkStart w:id="2365" w:name="_Toc477960344"/>
      <w:bookmarkStart w:id="2366" w:name="_Toc477960784"/>
      <w:bookmarkStart w:id="2367" w:name="_Toc477961223"/>
      <w:bookmarkStart w:id="2368" w:name="_Toc477961701"/>
      <w:bookmarkStart w:id="2369" w:name="_Toc477962187"/>
      <w:bookmarkStart w:id="2370" w:name="_Toc477962674"/>
      <w:bookmarkStart w:id="2371" w:name="_Toc477963160"/>
      <w:bookmarkStart w:id="2372" w:name="_Toc477963656"/>
      <w:bookmarkStart w:id="2373" w:name="_Toc478042848"/>
      <w:bookmarkStart w:id="2374" w:name="_Toc478367098"/>
      <w:bookmarkStart w:id="2375" w:name="_Toc479083711"/>
      <w:bookmarkStart w:id="2376" w:name="_Toc477960345"/>
      <w:bookmarkStart w:id="2377" w:name="_Toc477960785"/>
      <w:bookmarkStart w:id="2378" w:name="_Toc477961224"/>
      <w:bookmarkStart w:id="2379" w:name="_Toc477961702"/>
      <w:bookmarkStart w:id="2380" w:name="_Toc477962188"/>
      <w:bookmarkStart w:id="2381" w:name="_Toc477962675"/>
      <w:bookmarkStart w:id="2382" w:name="_Toc477963161"/>
      <w:bookmarkStart w:id="2383" w:name="_Toc477963657"/>
      <w:bookmarkStart w:id="2384" w:name="_Toc478042849"/>
      <w:bookmarkStart w:id="2385" w:name="_Toc478367099"/>
      <w:bookmarkStart w:id="2386" w:name="_Toc479083712"/>
      <w:bookmarkStart w:id="2387" w:name="_Toc477960346"/>
      <w:bookmarkStart w:id="2388" w:name="_Toc477960786"/>
      <w:bookmarkStart w:id="2389" w:name="_Toc477961225"/>
      <w:bookmarkStart w:id="2390" w:name="_Toc477961703"/>
      <w:bookmarkStart w:id="2391" w:name="_Toc477962189"/>
      <w:bookmarkStart w:id="2392" w:name="_Toc477962676"/>
      <w:bookmarkStart w:id="2393" w:name="_Toc477963162"/>
      <w:bookmarkStart w:id="2394" w:name="_Toc477963658"/>
      <w:bookmarkStart w:id="2395" w:name="_Toc478042850"/>
      <w:bookmarkStart w:id="2396" w:name="_Toc478367100"/>
      <w:bookmarkStart w:id="2397" w:name="_Toc479083713"/>
      <w:bookmarkStart w:id="2398" w:name="_Toc477960347"/>
      <w:bookmarkStart w:id="2399" w:name="_Toc477960787"/>
      <w:bookmarkStart w:id="2400" w:name="_Toc477961226"/>
      <w:bookmarkStart w:id="2401" w:name="_Toc477961704"/>
      <w:bookmarkStart w:id="2402" w:name="_Toc477962190"/>
      <w:bookmarkStart w:id="2403" w:name="_Toc477962677"/>
      <w:bookmarkStart w:id="2404" w:name="_Toc477963163"/>
      <w:bookmarkStart w:id="2405" w:name="_Toc477963659"/>
      <w:bookmarkStart w:id="2406" w:name="_Toc478042851"/>
      <w:bookmarkStart w:id="2407" w:name="_Toc478367101"/>
      <w:bookmarkStart w:id="2408" w:name="_Toc479083714"/>
      <w:bookmarkStart w:id="2409" w:name="_Toc477960348"/>
      <w:bookmarkStart w:id="2410" w:name="_Toc477960788"/>
      <w:bookmarkStart w:id="2411" w:name="_Toc477961227"/>
      <w:bookmarkStart w:id="2412" w:name="_Toc477961705"/>
      <w:bookmarkStart w:id="2413" w:name="_Toc477962191"/>
      <w:bookmarkStart w:id="2414" w:name="_Toc477962678"/>
      <w:bookmarkStart w:id="2415" w:name="_Toc477963164"/>
      <w:bookmarkStart w:id="2416" w:name="_Toc477963660"/>
      <w:bookmarkStart w:id="2417" w:name="_Toc478042852"/>
      <w:bookmarkStart w:id="2418" w:name="_Toc478367102"/>
      <w:bookmarkStart w:id="2419" w:name="_Toc479083715"/>
      <w:bookmarkStart w:id="2420" w:name="_Toc477960349"/>
      <w:bookmarkStart w:id="2421" w:name="_Toc477960789"/>
      <w:bookmarkStart w:id="2422" w:name="_Toc477961228"/>
      <w:bookmarkStart w:id="2423" w:name="_Toc477961706"/>
      <w:bookmarkStart w:id="2424" w:name="_Toc477962192"/>
      <w:bookmarkStart w:id="2425" w:name="_Toc477962679"/>
      <w:bookmarkStart w:id="2426" w:name="_Toc477963165"/>
      <w:bookmarkStart w:id="2427" w:name="_Toc477963661"/>
      <w:bookmarkStart w:id="2428" w:name="_Toc478042853"/>
      <w:bookmarkStart w:id="2429" w:name="_Toc478367103"/>
      <w:bookmarkStart w:id="2430" w:name="_Toc479083716"/>
      <w:bookmarkStart w:id="2431" w:name="_Toc477960350"/>
      <w:bookmarkStart w:id="2432" w:name="_Toc477960790"/>
      <w:bookmarkStart w:id="2433" w:name="_Toc477961229"/>
      <w:bookmarkStart w:id="2434" w:name="_Toc477961707"/>
      <w:bookmarkStart w:id="2435" w:name="_Toc477962193"/>
      <w:bookmarkStart w:id="2436" w:name="_Toc477962680"/>
      <w:bookmarkStart w:id="2437" w:name="_Toc477963166"/>
      <w:bookmarkStart w:id="2438" w:name="_Toc477963662"/>
      <w:bookmarkStart w:id="2439" w:name="_Toc478042854"/>
      <w:bookmarkStart w:id="2440" w:name="_Toc478367104"/>
      <w:bookmarkStart w:id="2441" w:name="_Toc479083717"/>
      <w:bookmarkStart w:id="2442" w:name="_Toc477960351"/>
      <w:bookmarkStart w:id="2443" w:name="_Toc477960791"/>
      <w:bookmarkStart w:id="2444" w:name="_Toc477961230"/>
      <w:bookmarkStart w:id="2445" w:name="_Toc477961708"/>
      <w:bookmarkStart w:id="2446" w:name="_Toc477962194"/>
      <w:bookmarkStart w:id="2447" w:name="_Toc477962681"/>
      <w:bookmarkStart w:id="2448" w:name="_Toc477963167"/>
      <w:bookmarkStart w:id="2449" w:name="_Toc477963663"/>
      <w:bookmarkStart w:id="2450" w:name="_Toc478042855"/>
      <w:bookmarkStart w:id="2451" w:name="_Toc478367105"/>
      <w:bookmarkStart w:id="2452" w:name="_Toc479083718"/>
      <w:bookmarkStart w:id="2453" w:name="_Toc477960352"/>
      <w:bookmarkStart w:id="2454" w:name="_Toc477960792"/>
      <w:bookmarkStart w:id="2455" w:name="_Toc477961231"/>
      <w:bookmarkStart w:id="2456" w:name="_Toc477961709"/>
      <w:bookmarkStart w:id="2457" w:name="_Toc477962195"/>
      <w:bookmarkStart w:id="2458" w:name="_Toc477962682"/>
      <w:bookmarkStart w:id="2459" w:name="_Toc477963168"/>
      <w:bookmarkStart w:id="2460" w:name="_Toc477963664"/>
      <w:bookmarkStart w:id="2461" w:name="_Toc478042856"/>
      <w:bookmarkStart w:id="2462" w:name="_Toc478367106"/>
      <w:bookmarkStart w:id="2463" w:name="_Toc479083719"/>
      <w:bookmarkStart w:id="2464" w:name="_Toc477960353"/>
      <w:bookmarkStart w:id="2465" w:name="_Toc477960793"/>
      <w:bookmarkStart w:id="2466" w:name="_Toc477961232"/>
      <w:bookmarkStart w:id="2467" w:name="_Toc477961710"/>
      <w:bookmarkStart w:id="2468" w:name="_Toc477962196"/>
      <w:bookmarkStart w:id="2469" w:name="_Toc477962683"/>
      <w:bookmarkStart w:id="2470" w:name="_Toc477963169"/>
      <w:bookmarkStart w:id="2471" w:name="_Toc477963665"/>
      <w:bookmarkStart w:id="2472" w:name="_Toc478042857"/>
      <w:bookmarkStart w:id="2473" w:name="_Toc478367107"/>
      <w:bookmarkStart w:id="2474" w:name="_Toc479083720"/>
      <w:bookmarkStart w:id="2475" w:name="_Toc477960354"/>
      <w:bookmarkStart w:id="2476" w:name="_Toc477960794"/>
      <w:bookmarkStart w:id="2477" w:name="_Toc477961233"/>
      <w:bookmarkStart w:id="2478" w:name="_Toc477961711"/>
      <w:bookmarkStart w:id="2479" w:name="_Toc477962197"/>
      <w:bookmarkStart w:id="2480" w:name="_Toc477962684"/>
      <w:bookmarkStart w:id="2481" w:name="_Toc477963170"/>
      <w:bookmarkStart w:id="2482" w:name="_Toc477963666"/>
      <w:bookmarkStart w:id="2483" w:name="_Toc478042858"/>
      <w:bookmarkStart w:id="2484" w:name="_Toc478367108"/>
      <w:bookmarkStart w:id="2485" w:name="_Toc479083721"/>
      <w:bookmarkStart w:id="2486" w:name="_Toc477960355"/>
      <w:bookmarkStart w:id="2487" w:name="_Toc477960795"/>
      <w:bookmarkStart w:id="2488" w:name="_Toc477961234"/>
      <w:bookmarkStart w:id="2489" w:name="_Toc477961712"/>
      <w:bookmarkStart w:id="2490" w:name="_Toc477962198"/>
      <w:bookmarkStart w:id="2491" w:name="_Toc477962685"/>
      <w:bookmarkStart w:id="2492" w:name="_Toc477963171"/>
      <w:bookmarkStart w:id="2493" w:name="_Toc477963667"/>
      <w:bookmarkStart w:id="2494" w:name="_Toc478042859"/>
      <w:bookmarkStart w:id="2495" w:name="_Toc478367109"/>
      <w:bookmarkStart w:id="2496" w:name="_Toc479083722"/>
      <w:bookmarkStart w:id="2497" w:name="_Toc477960356"/>
      <w:bookmarkStart w:id="2498" w:name="_Toc477960796"/>
      <w:bookmarkStart w:id="2499" w:name="_Toc477961235"/>
      <w:bookmarkStart w:id="2500" w:name="_Toc477961713"/>
      <w:bookmarkStart w:id="2501" w:name="_Toc477962199"/>
      <w:bookmarkStart w:id="2502" w:name="_Toc477962686"/>
      <w:bookmarkStart w:id="2503" w:name="_Toc477963172"/>
      <w:bookmarkStart w:id="2504" w:name="_Toc477963668"/>
      <w:bookmarkStart w:id="2505" w:name="_Toc478042860"/>
      <w:bookmarkStart w:id="2506" w:name="_Toc478367110"/>
      <w:bookmarkStart w:id="2507" w:name="_Toc479083723"/>
      <w:bookmarkStart w:id="2508" w:name="_Toc477960357"/>
      <w:bookmarkStart w:id="2509" w:name="_Toc477960797"/>
      <w:bookmarkStart w:id="2510" w:name="_Toc477961236"/>
      <w:bookmarkStart w:id="2511" w:name="_Toc477961714"/>
      <w:bookmarkStart w:id="2512" w:name="_Toc477962200"/>
      <w:bookmarkStart w:id="2513" w:name="_Toc477962687"/>
      <w:bookmarkStart w:id="2514" w:name="_Toc477963173"/>
      <w:bookmarkStart w:id="2515" w:name="_Toc477963669"/>
      <w:bookmarkStart w:id="2516" w:name="_Toc478042861"/>
      <w:bookmarkStart w:id="2517" w:name="_Toc478367111"/>
      <w:bookmarkStart w:id="2518" w:name="_Toc479083724"/>
      <w:bookmarkStart w:id="2519" w:name="_Toc477960358"/>
      <w:bookmarkStart w:id="2520" w:name="_Toc477960798"/>
      <w:bookmarkStart w:id="2521" w:name="_Toc477961237"/>
      <w:bookmarkStart w:id="2522" w:name="_Toc477961715"/>
      <w:bookmarkStart w:id="2523" w:name="_Toc477962201"/>
      <w:bookmarkStart w:id="2524" w:name="_Toc477962688"/>
      <w:bookmarkStart w:id="2525" w:name="_Toc477963174"/>
      <w:bookmarkStart w:id="2526" w:name="_Toc477963670"/>
      <w:bookmarkStart w:id="2527" w:name="_Toc478042862"/>
      <w:bookmarkStart w:id="2528" w:name="_Toc478367112"/>
      <w:bookmarkStart w:id="2529" w:name="_Toc479083725"/>
      <w:bookmarkStart w:id="2530" w:name="_Toc477960359"/>
      <w:bookmarkStart w:id="2531" w:name="_Toc477960799"/>
      <w:bookmarkStart w:id="2532" w:name="_Toc477961238"/>
      <w:bookmarkStart w:id="2533" w:name="_Toc477961716"/>
      <w:bookmarkStart w:id="2534" w:name="_Toc477962202"/>
      <w:bookmarkStart w:id="2535" w:name="_Toc477962689"/>
      <w:bookmarkStart w:id="2536" w:name="_Toc477963175"/>
      <w:bookmarkStart w:id="2537" w:name="_Toc477963671"/>
      <w:bookmarkStart w:id="2538" w:name="_Toc478042863"/>
      <w:bookmarkStart w:id="2539" w:name="_Toc478367113"/>
      <w:bookmarkStart w:id="2540" w:name="_Toc479083726"/>
      <w:bookmarkStart w:id="2541" w:name="_Toc477960360"/>
      <w:bookmarkStart w:id="2542" w:name="_Toc477960800"/>
      <w:bookmarkStart w:id="2543" w:name="_Toc477961239"/>
      <w:bookmarkStart w:id="2544" w:name="_Toc477961717"/>
      <w:bookmarkStart w:id="2545" w:name="_Toc477962203"/>
      <w:bookmarkStart w:id="2546" w:name="_Toc477962690"/>
      <w:bookmarkStart w:id="2547" w:name="_Toc477963176"/>
      <w:bookmarkStart w:id="2548" w:name="_Toc477963672"/>
      <w:bookmarkStart w:id="2549" w:name="_Toc478042864"/>
      <w:bookmarkStart w:id="2550" w:name="_Toc478367114"/>
      <w:bookmarkStart w:id="2551" w:name="_Toc479083727"/>
      <w:bookmarkStart w:id="2552" w:name="_Toc477960361"/>
      <w:bookmarkStart w:id="2553" w:name="_Toc477960801"/>
      <w:bookmarkStart w:id="2554" w:name="_Toc477961240"/>
      <w:bookmarkStart w:id="2555" w:name="_Toc477961718"/>
      <w:bookmarkStart w:id="2556" w:name="_Toc477962204"/>
      <w:bookmarkStart w:id="2557" w:name="_Toc477962691"/>
      <w:bookmarkStart w:id="2558" w:name="_Toc477963177"/>
      <w:bookmarkStart w:id="2559" w:name="_Toc477963673"/>
      <w:bookmarkStart w:id="2560" w:name="_Toc478042865"/>
      <w:bookmarkStart w:id="2561" w:name="_Toc478367115"/>
      <w:bookmarkStart w:id="2562" w:name="_Toc479083728"/>
      <w:bookmarkStart w:id="2563" w:name="_Toc477960362"/>
      <w:bookmarkStart w:id="2564" w:name="_Toc477960802"/>
      <w:bookmarkStart w:id="2565" w:name="_Toc477961241"/>
      <w:bookmarkStart w:id="2566" w:name="_Toc477961719"/>
      <w:bookmarkStart w:id="2567" w:name="_Toc477962205"/>
      <w:bookmarkStart w:id="2568" w:name="_Toc477962692"/>
      <w:bookmarkStart w:id="2569" w:name="_Toc477963178"/>
      <w:bookmarkStart w:id="2570" w:name="_Toc477963674"/>
      <w:bookmarkStart w:id="2571" w:name="_Toc478042866"/>
      <w:bookmarkStart w:id="2572" w:name="_Toc478367116"/>
      <w:bookmarkStart w:id="2573" w:name="_Toc479083729"/>
      <w:bookmarkStart w:id="2574" w:name="_Toc471374440"/>
      <w:bookmarkStart w:id="2575" w:name="_Process_and_procedures"/>
      <w:bookmarkStart w:id="2576" w:name="_Providers’_obligations"/>
      <w:bookmarkStart w:id="2577" w:name="_Toc483222891"/>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sidRPr="0016660E">
        <w:t>Providers</w:t>
      </w:r>
      <w:r w:rsidR="00CC0837">
        <w:t>’</w:t>
      </w:r>
      <w:r w:rsidRPr="0016660E">
        <w:t xml:space="preserve"> obligations</w:t>
      </w:r>
    </w:p>
    <w:p w14:paraId="76BB012A" w14:textId="7C9A1281" w:rsidR="009E31CC" w:rsidRPr="0016660E" w:rsidRDefault="009E31CC" w:rsidP="009E31CC">
      <w:pPr>
        <w:rPr>
          <w:rFonts w:cstheme="minorHAnsi"/>
        </w:rPr>
      </w:pPr>
      <w:r w:rsidRPr="0016660E">
        <w:rPr>
          <w:rFonts w:cstheme="minorHAnsi"/>
        </w:rPr>
        <w:t xml:space="preserve">Approved VSL providers are taken to be members of the external dispute resolution scheme (the </w:t>
      </w:r>
      <w:r>
        <w:rPr>
          <w:rFonts w:cstheme="minorHAnsi"/>
        </w:rPr>
        <w:t>VET Student Loans</w:t>
      </w:r>
      <w:r w:rsidRPr="0016660E">
        <w:rPr>
          <w:rFonts w:cstheme="minorHAnsi"/>
        </w:rPr>
        <w:t xml:space="preserve"> Ombudsman) f</w:t>
      </w:r>
      <w:r>
        <w:rPr>
          <w:rFonts w:cstheme="minorHAnsi"/>
        </w:rPr>
        <w:t>or the purpose of meeting this obligation</w:t>
      </w:r>
      <w:r w:rsidRPr="0016660E">
        <w:rPr>
          <w:rFonts w:cstheme="minorHAnsi"/>
        </w:rPr>
        <w:t xml:space="preserve"> under </w:t>
      </w:r>
      <w:r>
        <w:rPr>
          <w:rFonts w:cstheme="minorHAnsi"/>
        </w:rPr>
        <w:t>the Act [</w:t>
      </w:r>
      <w:r w:rsidRPr="0028499D">
        <w:rPr>
          <w:rStyle w:val="ReferenceChar"/>
        </w:rPr>
        <w:t xml:space="preserve">Act s 25(2)(h); s 42BA </w:t>
      </w:r>
      <w:r w:rsidRPr="009325D4">
        <w:rPr>
          <w:rStyle w:val="ReferenceChar"/>
          <w:i/>
        </w:rPr>
        <w:t>Ombudsman Act 1976</w:t>
      </w:r>
      <w:r w:rsidRPr="0028499D">
        <w:rPr>
          <w:rStyle w:val="ReferenceChar"/>
        </w:rPr>
        <w:t xml:space="preserve"> (Ombudsman Act)]</w:t>
      </w:r>
      <w:r w:rsidRPr="0016660E">
        <w:rPr>
          <w:rFonts w:cstheme="minorHAnsi"/>
        </w:rPr>
        <w:t xml:space="preserve">. </w:t>
      </w:r>
    </w:p>
    <w:p w14:paraId="7F288FA8" w14:textId="77777777" w:rsidR="009E31CC" w:rsidRPr="0016660E" w:rsidRDefault="009E31CC" w:rsidP="00A0727A">
      <w:pPr>
        <w:pStyle w:val="ListBullet"/>
        <w:numPr>
          <w:ilvl w:val="0"/>
          <w:numId w:val="74"/>
        </w:numPr>
        <w:rPr>
          <w:rFonts w:cstheme="minorHAnsi"/>
        </w:rPr>
      </w:pPr>
      <w:r w:rsidRPr="0016660E">
        <w:rPr>
          <w:rFonts w:cstheme="minorHAnsi"/>
        </w:rPr>
        <w:t>All providers must:</w:t>
      </w:r>
    </w:p>
    <w:p w14:paraId="521C1358" w14:textId="593173F5" w:rsidR="009E31CC" w:rsidRPr="0016660E" w:rsidRDefault="009E31CC" w:rsidP="00A0727A">
      <w:pPr>
        <w:pStyle w:val="ListBullet"/>
        <w:numPr>
          <w:ilvl w:val="1"/>
          <w:numId w:val="42"/>
        </w:numPr>
        <w:rPr>
          <w:rFonts w:cstheme="minorHAnsi"/>
        </w:rPr>
      </w:pPr>
      <w:r w:rsidRPr="0016660E">
        <w:rPr>
          <w:rFonts w:cstheme="minorHAnsi"/>
        </w:rPr>
        <w:t xml:space="preserve">comply with the requirements of the </w:t>
      </w:r>
      <w:r>
        <w:rPr>
          <w:rFonts w:cstheme="minorHAnsi"/>
        </w:rPr>
        <w:t xml:space="preserve">VET Student Loans Ombudsman </w:t>
      </w:r>
      <w:r w:rsidRPr="0028499D">
        <w:rPr>
          <w:rStyle w:val="ReferenceChar"/>
        </w:rPr>
        <w:t>[Act s 42C]</w:t>
      </w:r>
    </w:p>
    <w:p w14:paraId="1A1F05CA" w14:textId="795487FE" w:rsidR="009E31CC" w:rsidRPr="0016660E" w:rsidRDefault="009E31CC" w:rsidP="00A0727A">
      <w:pPr>
        <w:pStyle w:val="ListBullet"/>
        <w:numPr>
          <w:ilvl w:val="1"/>
          <w:numId w:val="42"/>
        </w:numPr>
        <w:rPr>
          <w:rFonts w:cstheme="minorHAnsi"/>
        </w:rPr>
      </w:pPr>
      <w:r w:rsidRPr="0016660E">
        <w:rPr>
          <w:rFonts w:cstheme="minorHAnsi"/>
        </w:rPr>
        <w:lastRenderedPageBreak/>
        <w:t xml:space="preserve">fully cooperate with the </w:t>
      </w:r>
      <w:r>
        <w:rPr>
          <w:rFonts w:cstheme="minorHAnsi"/>
        </w:rPr>
        <w:t>VET Student Loans</w:t>
      </w:r>
      <w:r w:rsidRPr="0016660E">
        <w:rPr>
          <w:rFonts w:cstheme="minorHAnsi"/>
        </w:rPr>
        <w:t xml:space="preserve"> Ombudsman to ensure com</w:t>
      </w:r>
      <w:r>
        <w:rPr>
          <w:rFonts w:cstheme="minorHAnsi"/>
        </w:rPr>
        <w:t xml:space="preserve">pliance with the Ombudsman Act </w:t>
      </w:r>
      <w:r w:rsidRPr="0028499D">
        <w:rPr>
          <w:rStyle w:val="ReferenceChar"/>
        </w:rPr>
        <w:t>[Act s 46]</w:t>
      </w:r>
    </w:p>
    <w:p w14:paraId="332DE2A9" w14:textId="2A2E0D1E" w:rsidR="009E31CC" w:rsidRPr="0016660E" w:rsidRDefault="009E31CC" w:rsidP="00A0727A">
      <w:pPr>
        <w:pStyle w:val="ListBullet"/>
        <w:numPr>
          <w:ilvl w:val="0"/>
          <w:numId w:val="74"/>
        </w:numPr>
        <w:rPr>
          <w:rFonts w:cstheme="minorHAnsi"/>
        </w:rPr>
      </w:pPr>
      <w:r w:rsidRPr="0016660E">
        <w:rPr>
          <w:rFonts w:cstheme="minorHAnsi"/>
        </w:rPr>
        <w:t>For example, providers will be required to produce information or documents relevant to an investigation where this has been requested by the Ombudsman. A breach of this obligation may result in a criminal offence (under s 36 of the Ombudsman Act) and/or</w:t>
      </w:r>
      <w:r>
        <w:rPr>
          <w:rFonts w:cstheme="minorHAnsi"/>
        </w:rPr>
        <w:t xml:space="preserve"> a civil penalty up to $12,600 </w:t>
      </w:r>
      <w:r w:rsidRPr="0028499D">
        <w:rPr>
          <w:rStyle w:val="ReferenceChar"/>
        </w:rPr>
        <w:t>[Act s 46]</w:t>
      </w:r>
      <w:r w:rsidRPr="0016660E">
        <w:rPr>
          <w:rFonts w:cstheme="minorHAnsi"/>
        </w:rPr>
        <w:t xml:space="preserve">. </w:t>
      </w:r>
    </w:p>
    <w:p w14:paraId="025D43CA" w14:textId="77777777" w:rsidR="009E31CC" w:rsidRPr="0016660E" w:rsidRDefault="009E31CC" w:rsidP="00A0727A">
      <w:pPr>
        <w:pStyle w:val="ListBullet"/>
        <w:numPr>
          <w:ilvl w:val="0"/>
          <w:numId w:val="74"/>
        </w:numPr>
        <w:rPr>
          <w:rFonts w:cstheme="minorHAnsi"/>
        </w:rPr>
      </w:pPr>
      <w:r w:rsidRPr="0016660E">
        <w:rPr>
          <w:rFonts w:cstheme="minorHAnsi"/>
        </w:rPr>
        <w:t xml:space="preserve">Further, where providers do not take adequate and appropriate action within a reasonable time following recommendations made by the </w:t>
      </w:r>
      <w:r>
        <w:rPr>
          <w:rFonts w:cstheme="minorHAnsi"/>
        </w:rPr>
        <w:t>VET Student Loans</w:t>
      </w:r>
      <w:r w:rsidRPr="0016660E">
        <w:rPr>
          <w:rFonts w:cstheme="minorHAnsi"/>
        </w:rPr>
        <w:t xml:space="preserve"> Ombudsman, a report will be provided to the Minister which will then be tabled in Parliament – making the actions of providers subject to public and Parliamentary scrutiny.</w:t>
      </w:r>
    </w:p>
    <w:p w14:paraId="4EFE606B" w14:textId="77777777" w:rsidR="009E31CC" w:rsidRPr="006C52E7" w:rsidRDefault="009E31CC" w:rsidP="00A0727A">
      <w:pPr>
        <w:pStyle w:val="ListBullet"/>
        <w:numPr>
          <w:ilvl w:val="0"/>
          <w:numId w:val="74"/>
        </w:numPr>
        <w:rPr>
          <w:rFonts w:cstheme="minorHAnsi"/>
        </w:rPr>
      </w:pPr>
      <w:r w:rsidRPr="0016660E">
        <w:rPr>
          <w:rFonts w:cstheme="minorHAnsi"/>
        </w:rPr>
        <w:t xml:space="preserve">The department will monitor data detailing whether providers have or have not implemented the recommendations of the VSL Ombudsman. </w:t>
      </w:r>
    </w:p>
    <w:p w14:paraId="0FC5C005" w14:textId="34D70CE1" w:rsidR="009E31CC" w:rsidRDefault="009E31CC" w:rsidP="009E31CC">
      <w:r>
        <w:t xml:space="preserve">Further information on the VET Student Loans Ombudsman is available at: </w:t>
      </w:r>
      <w:hyperlink r:id="rId88" w:history="1">
        <w:r w:rsidRPr="00CB74C5">
          <w:rPr>
            <w:rStyle w:val="Hyperlink"/>
          </w:rPr>
          <w:t>www.ombudsman.gov.au/about/vet-student-loans-ombudsman</w:t>
        </w:r>
      </w:hyperlink>
      <w:r>
        <w:t>.</w:t>
      </w:r>
    </w:p>
    <w:p w14:paraId="24E801F3" w14:textId="11EAC59D" w:rsidR="00983AE6" w:rsidRPr="00736F23" w:rsidRDefault="00983AE6" w:rsidP="009325D4">
      <w:pPr>
        <w:pStyle w:val="Heading3"/>
        <w:keepNext/>
        <w:keepLines/>
      </w:pPr>
      <w:bookmarkStart w:id="2578" w:name="_4.8.10__"/>
      <w:bookmarkStart w:id="2579" w:name="_Toc501621223"/>
      <w:bookmarkEnd w:id="2578"/>
      <w:r>
        <w:t>4.8.</w:t>
      </w:r>
      <w:r w:rsidR="00D96C7F">
        <w:t>1</w:t>
      </w:r>
      <w:r w:rsidR="00E82CFB">
        <w:t>0</w:t>
      </w:r>
      <w:r w:rsidR="00C36EDC">
        <w:t xml:space="preserve">   </w:t>
      </w:r>
      <w:r w:rsidRPr="00736F23">
        <w:t xml:space="preserve">Process and </w:t>
      </w:r>
      <w:bookmarkStart w:id="2580" w:name="_Toc471374441"/>
      <w:r w:rsidRPr="00736F23">
        <w:t>procedures relating to fees</w:t>
      </w:r>
      <w:bookmarkEnd w:id="2577"/>
      <w:bookmarkEnd w:id="2579"/>
      <w:bookmarkEnd w:id="2580"/>
    </w:p>
    <w:p w14:paraId="739F8AB6" w14:textId="77777777" w:rsidR="00983AE6" w:rsidRPr="00736F23" w:rsidRDefault="00983AE6" w:rsidP="00993767">
      <w:pPr>
        <w:spacing w:after="120"/>
      </w:pPr>
      <w:r w:rsidRPr="00736F23">
        <w:t xml:space="preserve">Students may access </w:t>
      </w:r>
      <w:r w:rsidR="00454ED5">
        <w:t>VET Student Loans</w:t>
      </w:r>
      <w:r w:rsidRPr="00736F23">
        <w:t xml:space="preserve"> to </w:t>
      </w:r>
      <w:r>
        <w:t>obtain a loan for course</w:t>
      </w:r>
      <w:r w:rsidRPr="00736F23">
        <w:t xml:space="preserve"> tuition fees. As </w:t>
      </w:r>
      <w:r w:rsidR="00454ED5">
        <w:t>VET Student Loans</w:t>
      </w:r>
      <w:r w:rsidRPr="00736F23">
        <w:t xml:space="preserve"> may only cover tuition fees, any other fees and charges must be borne by the student. </w:t>
      </w:r>
      <w:r>
        <w:t>T</w:t>
      </w:r>
      <w:r w:rsidRPr="00736F23">
        <w:t xml:space="preserve">he requirements around </w:t>
      </w:r>
      <w:r>
        <w:t xml:space="preserve">other </w:t>
      </w:r>
      <w:r w:rsidRPr="00736F23">
        <w:t>fees that are incidental to study are to help ensure that any upfront costs to students are kept to a minimum</w:t>
      </w:r>
      <w:r>
        <w:t xml:space="preserve"> and to what may reasonably and fairly be charged to a student</w:t>
      </w:r>
      <w:r w:rsidRPr="00736F23">
        <w:t xml:space="preserve">. </w:t>
      </w:r>
    </w:p>
    <w:p w14:paraId="27C6046E" w14:textId="36A797E6" w:rsidR="00983AE6" w:rsidRPr="009639E1" w:rsidRDefault="00983AE6" w:rsidP="00286A08">
      <w:pPr>
        <w:pStyle w:val="Heading5"/>
      </w:pPr>
      <w:bookmarkStart w:id="2581" w:name="_Refund_of_tuition"/>
      <w:bookmarkStart w:id="2582" w:name="_Determining_tuition_fees"/>
      <w:bookmarkStart w:id="2583" w:name="_Determining_tuition_fees_1"/>
      <w:bookmarkStart w:id="2584" w:name="_Toc471374442"/>
      <w:bookmarkStart w:id="2585" w:name="_Toc481505242"/>
      <w:bookmarkStart w:id="2586" w:name="_Toc483209563"/>
      <w:bookmarkStart w:id="2587" w:name="_Toc483222892"/>
      <w:bookmarkEnd w:id="2581"/>
      <w:bookmarkEnd w:id="2582"/>
      <w:bookmarkEnd w:id="2583"/>
      <w:r w:rsidRPr="009639E1">
        <w:t>Determining tuition fees</w:t>
      </w:r>
      <w:bookmarkEnd w:id="2584"/>
      <w:bookmarkEnd w:id="2585"/>
      <w:bookmarkEnd w:id="2586"/>
      <w:bookmarkEnd w:id="2587"/>
    </w:p>
    <w:p w14:paraId="72A4C8E6" w14:textId="77777777" w:rsidR="00983AE6" w:rsidRPr="00220B2E" w:rsidRDefault="00983AE6" w:rsidP="00993767">
      <w:pPr>
        <w:spacing w:after="120"/>
        <w:rPr>
          <w:rStyle w:val="ReferencesChar"/>
          <w:rFonts w:asciiTheme="minorHAnsi" w:hAnsiTheme="minorHAnsi" w:cstheme="minorHAnsi"/>
          <w:color w:val="002060"/>
          <w:szCs w:val="16"/>
        </w:rPr>
      </w:pPr>
      <w:r w:rsidRPr="00736F23">
        <w:t>A provider must determine the tuition fees for each approved course it offers</w:t>
      </w:r>
      <w:r w:rsidRPr="00736F23">
        <w:rPr>
          <w:sz w:val="20"/>
          <w:szCs w:val="20"/>
        </w:rPr>
        <w:t xml:space="preserve"> </w:t>
      </w:r>
      <w:r w:rsidRPr="00322F3C">
        <w:rPr>
          <w:rStyle w:val="ReferenceChar"/>
        </w:rPr>
        <w:t>[Act s 55]</w:t>
      </w:r>
      <w:r w:rsidRPr="00220B2E">
        <w:rPr>
          <w:rStyle w:val="ReferencesChar"/>
          <w:rFonts w:asciiTheme="minorHAnsi" w:hAnsiTheme="minorHAnsi" w:cstheme="minorHAnsi"/>
          <w:color w:val="002060"/>
          <w:sz w:val="22"/>
        </w:rPr>
        <w:t>.</w:t>
      </w:r>
    </w:p>
    <w:p w14:paraId="36BC10B3" w14:textId="77777777" w:rsidR="00983AE6" w:rsidRPr="00220B2E" w:rsidRDefault="00983AE6" w:rsidP="00993767">
      <w:pPr>
        <w:spacing w:after="120"/>
      </w:pPr>
      <w:r w:rsidRPr="00220B2E">
        <w:t>In determining tuition fees an approved course provider must not have regard to any of the following:</w:t>
      </w:r>
    </w:p>
    <w:p w14:paraId="67D9614A" w14:textId="2A2AF46A" w:rsidR="000671E4" w:rsidRPr="00220B2E" w:rsidRDefault="000671E4" w:rsidP="00A0727A">
      <w:pPr>
        <w:pStyle w:val="ListBullet"/>
        <w:numPr>
          <w:ilvl w:val="0"/>
          <w:numId w:val="74"/>
        </w:numPr>
      </w:pPr>
      <w:r w:rsidRPr="00220B2E">
        <w:t xml:space="preserve">any matter related to the manner or timing of payment of tuition fees by students or payment of loan amounts by the Secretary to the provider (for example, </w:t>
      </w:r>
      <w:r w:rsidR="006625F7" w:rsidRPr="00220B2E">
        <w:t xml:space="preserve">different fees should not be charged based on </w:t>
      </w:r>
      <w:r w:rsidRPr="00220B2E">
        <w:t>whether a student pays upfront or requests a loan or pays prior to a certain date before the census day</w:t>
      </w:r>
      <w:r w:rsidR="006625F7" w:rsidRPr="00220B2E">
        <w:t>)</w:t>
      </w:r>
      <w:r w:rsidRPr="00220B2E">
        <w:t xml:space="preserve"> </w:t>
      </w:r>
    </w:p>
    <w:p w14:paraId="197651EA" w14:textId="35F96071" w:rsidR="000671E4" w:rsidRPr="00220B2E" w:rsidRDefault="000671E4" w:rsidP="00A0727A">
      <w:pPr>
        <w:pStyle w:val="ListBullet"/>
        <w:numPr>
          <w:ilvl w:val="0"/>
          <w:numId w:val="74"/>
        </w:numPr>
      </w:pPr>
      <w:r w:rsidRPr="00220B2E">
        <w:t>fees payable for anything other than student access including student entry, administration, tui</w:t>
      </w:r>
      <w:r w:rsidR="00F72EDD" w:rsidRPr="00220B2E">
        <w:t>tion or assessment for a course</w:t>
      </w:r>
    </w:p>
    <w:p w14:paraId="6B31456A" w14:textId="77777777" w:rsidR="000671E4" w:rsidRPr="00220B2E" w:rsidRDefault="000671E4" w:rsidP="00A0727A">
      <w:pPr>
        <w:pStyle w:val="ListBullet"/>
        <w:numPr>
          <w:ilvl w:val="0"/>
          <w:numId w:val="74"/>
        </w:numPr>
      </w:pPr>
      <w:r w:rsidRPr="00220B2E">
        <w:t xml:space="preserve">fees payable for goods and services whether essential to the course or not, or any fine or penalty that may be imposed on a student </w:t>
      </w:r>
      <w:r w:rsidRPr="00220B2E">
        <w:rPr>
          <w:rStyle w:val="ReferenceChar"/>
        </w:rPr>
        <w:t>[Rules s 118]</w:t>
      </w:r>
      <w:r w:rsidRPr="00220B2E">
        <w:t>.</w:t>
      </w:r>
    </w:p>
    <w:p w14:paraId="2B36E3F8" w14:textId="0AD88DC8" w:rsidR="008B014A" w:rsidRPr="00220B2E" w:rsidRDefault="008B014A" w:rsidP="00983AE6">
      <w:r w:rsidRPr="00220B2E">
        <w:rPr>
          <w:color w:val="000000" w:themeColor="text1"/>
        </w:rPr>
        <w:t>Note that section 118 of the VSL Rules sets out in full other requirements in relation to determining tuition fees.</w:t>
      </w:r>
    </w:p>
    <w:p w14:paraId="43641321" w14:textId="0A90372C" w:rsidR="006625F7" w:rsidRPr="00220B2E" w:rsidRDefault="000671E4" w:rsidP="00983AE6">
      <w:r w:rsidRPr="00220B2E">
        <w:t>See</w:t>
      </w:r>
      <w:r w:rsidR="00F72EDD" w:rsidRPr="00220B2E">
        <w:t xml:space="preserve"> also</w:t>
      </w:r>
      <w:r w:rsidRPr="00220B2E">
        <w:t xml:space="preserve"> ‘</w:t>
      </w:r>
      <w:hyperlink w:anchor="_What_cannot_be_1" w:history="1">
        <w:r w:rsidRPr="00220B2E">
          <w:rPr>
            <w:rStyle w:val="Hyperlink"/>
          </w:rPr>
          <w:t>What cannot be included in a withdrawal process and procedure?</w:t>
        </w:r>
      </w:hyperlink>
      <w:r w:rsidRPr="00220B2E">
        <w:t>’</w:t>
      </w:r>
      <w:r w:rsidR="00F72EDD" w:rsidRPr="00220B2E">
        <w:t xml:space="preserve"> </w:t>
      </w:r>
    </w:p>
    <w:p w14:paraId="5C40D151" w14:textId="7F10D263" w:rsidR="00983AE6" w:rsidRPr="00736F23" w:rsidRDefault="00983AE6" w:rsidP="00983AE6">
      <w:r w:rsidRPr="00220B2E">
        <w:t xml:space="preserve">Examples of fees and charges that are </w:t>
      </w:r>
      <w:r w:rsidRPr="00220B2E">
        <w:rPr>
          <w:u w:val="single"/>
        </w:rPr>
        <w:t>not</w:t>
      </w:r>
      <w:r w:rsidRPr="00220B2E">
        <w:t xml:space="preserve"> covered fees, and examples of fees and charges that may be charged in addition to tuition fees are set out in </w:t>
      </w:r>
      <w:hyperlink w:anchor="_Appendix_G_–" w:history="1">
        <w:r w:rsidRPr="00220B2E">
          <w:rPr>
            <w:rStyle w:val="Hyperlink"/>
          </w:rPr>
          <w:t>Appendix F</w:t>
        </w:r>
      </w:hyperlink>
      <w:r w:rsidRPr="00220B2E">
        <w:t>.</w:t>
      </w:r>
    </w:p>
    <w:p w14:paraId="3DAAFA26" w14:textId="77777777" w:rsidR="00983AE6" w:rsidRPr="009639E1" w:rsidRDefault="00983AE6" w:rsidP="00286A08">
      <w:pPr>
        <w:pStyle w:val="Heading5"/>
      </w:pPr>
      <w:bookmarkStart w:id="2588" w:name="_Giving_the_Secretary"/>
      <w:bookmarkStart w:id="2589" w:name="_Toc469040267"/>
      <w:bookmarkStart w:id="2590" w:name="_Toc483209564"/>
      <w:bookmarkStart w:id="2591" w:name="_Toc483222893"/>
      <w:bookmarkStart w:id="2592" w:name="_Toc481505243"/>
      <w:bookmarkEnd w:id="2588"/>
      <w:r w:rsidRPr="009639E1">
        <w:t>Student</w:t>
      </w:r>
      <w:r w:rsidR="000873C3">
        <w:t>s</w:t>
      </w:r>
      <w:r w:rsidRPr="009639E1">
        <w:t xml:space="preserve"> not liable for covered fees</w:t>
      </w:r>
      <w:bookmarkEnd w:id="2589"/>
      <w:bookmarkEnd w:id="2590"/>
      <w:bookmarkEnd w:id="2591"/>
    </w:p>
    <w:p w14:paraId="634B68F5" w14:textId="77777777" w:rsidR="00983AE6" w:rsidRPr="00CB0F72" w:rsidRDefault="00983AE6" w:rsidP="00983AE6">
      <w:pPr>
        <w:rPr>
          <w:rFonts w:eastAsiaTheme="minorHAnsi"/>
        </w:rPr>
      </w:pPr>
      <w:r w:rsidRPr="00CB0F72">
        <w:t xml:space="preserve">If an approved course provider enrols a student in a course, the provider must give the student a written statement as to whether or not the enrolment is accepted on the basis that some or all of the tuition fees for the course will be covered by a VET student loan </w:t>
      </w:r>
      <w:r w:rsidRPr="007E503C">
        <w:rPr>
          <w:rStyle w:val="ReferenceChar"/>
        </w:rPr>
        <w:t>[Act s 56]</w:t>
      </w:r>
      <w:r w:rsidRPr="00CB0F72">
        <w:t>.</w:t>
      </w:r>
    </w:p>
    <w:p w14:paraId="5F066115" w14:textId="1CED7976" w:rsidR="00983AE6" w:rsidRPr="00CB0F72" w:rsidRDefault="00983AE6" w:rsidP="00983AE6">
      <w:pPr>
        <w:rPr>
          <w:b/>
          <w:bCs/>
        </w:rPr>
      </w:pPr>
      <w:r w:rsidRPr="00CB0F72">
        <w:t>The statement must be given in accordance with section 129 of the Rule</w:t>
      </w:r>
      <w:r w:rsidRPr="00CB0F72">
        <w:rPr>
          <w:i/>
          <w:iCs/>
        </w:rPr>
        <w:t>s</w:t>
      </w:r>
      <w:r w:rsidRPr="00CB0F72">
        <w:t xml:space="preserve">. See </w:t>
      </w:r>
      <w:r w:rsidRPr="00CB0F72">
        <w:rPr>
          <w:b/>
          <w:bCs/>
        </w:rPr>
        <w:t>‘</w:t>
      </w:r>
      <w:hyperlink w:anchor="_4.11.2__" w:history="1">
        <w:r w:rsidR="00560060">
          <w:rPr>
            <w:rStyle w:val="Hyperlink"/>
          </w:rPr>
          <w:t>Providing a VET </w:t>
        </w:r>
        <w:r w:rsidRPr="007E503C">
          <w:rPr>
            <w:rStyle w:val="Hyperlink"/>
          </w:rPr>
          <w:t>Student Loan statement of covered fees</w:t>
        </w:r>
      </w:hyperlink>
      <w:r w:rsidRPr="00CB0F72">
        <w:rPr>
          <w:b/>
          <w:bCs/>
        </w:rPr>
        <w:t>’.</w:t>
      </w:r>
    </w:p>
    <w:p w14:paraId="12C759EB" w14:textId="77777777" w:rsidR="00983AE6" w:rsidRPr="00CB0F72" w:rsidRDefault="00983AE6" w:rsidP="00983AE6">
      <w:r w:rsidRPr="00CB0F72">
        <w:t xml:space="preserve">A provider contravenes subsection 56(4) of the </w:t>
      </w:r>
      <w:r w:rsidRPr="00CB0F72">
        <w:rPr>
          <w:i/>
          <w:iCs/>
        </w:rPr>
        <w:t>VET Student Loans Act 2016</w:t>
      </w:r>
      <w:r w:rsidRPr="00CB0F72">
        <w:t xml:space="preserve"> if the provider requires a student to pay covered fees.</w:t>
      </w:r>
    </w:p>
    <w:p w14:paraId="04D14672" w14:textId="77777777" w:rsidR="00983AE6" w:rsidRPr="00CB0F72" w:rsidRDefault="00983AE6" w:rsidP="00983AE6">
      <w:r w:rsidRPr="00CB0F72">
        <w:lastRenderedPageBreak/>
        <w:t xml:space="preserve">This means that where a student enrols in a course with the understanding that part of the student’s fees are covered fees, and the Secretary is not required to pay the loan amount for the student, the </w:t>
      </w:r>
      <w:r w:rsidRPr="007E503C">
        <w:rPr>
          <w:rStyle w:val="Strong"/>
        </w:rPr>
        <w:t>provider must not require or ask the student to pay the provider the amount of the covered fees</w:t>
      </w:r>
      <w:r w:rsidRPr="00CB0F72">
        <w:t>.</w:t>
      </w:r>
    </w:p>
    <w:p w14:paraId="6B882E1F" w14:textId="77777777" w:rsidR="00983AE6" w:rsidRPr="00784226" w:rsidRDefault="00983AE6" w:rsidP="00983AE6">
      <w:pPr>
        <w:rPr>
          <w:color w:val="3333FF"/>
          <w:sz w:val="16"/>
          <w:szCs w:val="16"/>
        </w:rPr>
      </w:pPr>
      <w:r w:rsidRPr="00CB0F72">
        <w:t xml:space="preserve">A Civil penalty of 120 penalty units applies. </w:t>
      </w:r>
    </w:p>
    <w:p w14:paraId="625E49A1" w14:textId="773C93A8" w:rsidR="00983AE6" w:rsidRPr="009639E1" w:rsidRDefault="00983AE6" w:rsidP="00286A08">
      <w:pPr>
        <w:pStyle w:val="Heading5"/>
      </w:pPr>
      <w:bookmarkStart w:id="2593" w:name="_Providing_and_publishing_1"/>
      <w:bookmarkStart w:id="2594" w:name="_Toc483209565"/>
      <w:bookmarkStart w:id="2595" w:name="_Toc483222894"/>
      <w:bookmarkEnd w:id="2593"/>
      <w:r w:rsidRPr="009639E1">
        <w:t>Providing and publishing fee information for students</w:t>
      </w:r>
      <w:bookmarkEnd w:id="2592"/>
      <w:bookmarkEnd w:id="2594"/>
      <w:bookmarkEnd w:id="2595"/>
    </w:p>
    <w:p w14:paraId="563B94C1" w14:textId="77777777" w:rsidR="00983AE6" w:rsidRDefault="00983AE6" w:rsidP="00983AE6">
      <w:r w:rsidRPr="00972577">
        <w:t xml:space="preserve">Before enrolling a student in an approved course, a provider must give to the student </w:t>
      </w:r>
      <w:r>
        <w:t xml:space="preserve">information about (among other things) </w:t>
      </w:r>
      <w:r w:rsidRPr="00972577">
        <w:t xml:space="preserve">the tuition fees for the course and any fees other than tuition fees that are payable for the course </w:t>
      </w:r>
      <w:r w:rsidRPr="007E503C">
        <w:rPr>
          <w:rStyle w:val="ReferenceChar"/>
        </w:rPr>
        <w:t>[Rules paragraphs 98(2)(b) and (c)]</w:t>
      </w:r>
      <w:r w:rsidRPr="00972577">
        <w:t>.</w:t>
      </w:r>
      <w:r>
        <w:t xml:space="preserve"> </w:t>
      </w:r>
    </w:p>
    <w:p w14:paraId="46C6A633" w14:textId="77777777" w:rsidR="00983AE6" w:rsidRDefault="00983AE6" w:rsidP="00983AE6">
      <w:r>
        <w:t>P</w:t>
      </w:r>
      <w:r w:rsidRPr="00E64B2B">
        <w:t>roviders must publish tuition fees on their website in a readily accessible way no later than the day before a student enrols in a course</w:t>
      </w:r>
      <w:r>
        <w:t xml:space="preserve"> (on the basis that some or all of the fees are covered by a VET student loan) </w:t>
      </w:r>
      <w:r w:rsidRPr="007E503C">
        <w:rPr>
          <w:rStyle w:val="ReferenceChar"/>
        </w:rPr>
        <w:t>[Act s 57(b)]</w:t>
      </w:r>
      <w:r w:rsidRPr="00E64B2B">
        <w:t>.</w:t>
      </w:r>
    </w:p>
    <w:p w14:paraId="4DE2D68E" w14:textId="77777777" w:rsidR="00983AE6" w:rsidRPr="009639E1" w:rsidRDefault="00983AE6" w:rsidP="009325D4">
      <w:pPr>
        <w:pStyle w:val="Heading5"/>
        <w:keepNext/>
        <w:keepLines/>
      </w:pPr>
      <w:bookmarkStart w:id="2596" w:name="_Giving_the_Secretary_2"/>
      <w:bookmarkStart w:id="2597" w:name="_Toc483209566"/>
      <w:bookmarkStart w:id="2598" w:name="_Toc483222895"/>
      <w:bookmarkEnd w:id="2596"/>
      <w:r w:rsidRPr="009639E1">
        <w:t>Giving the Secretary a list of fees</w:t>
      </w:r>
      <w:bookmarkEnd w:id="2597"/>
      <w:bookmarkEnd w:id="2598"/>
      <w:r w:rsidRPr="009639E1">
        <w:t xml:space="preserve"> </w:t>
      </w:r>
    </w:p>
    <w:p w14:paraId="124DF23C" w14:textId="77777777" w:rsidR="00983AE6" w:rsidRPr="00DC6F74" w:rsidRDefault="00983AE6" w:rsidP="00983AE6">
      <w:r w:rsidRPr="00972577">
        <w:t>A provider must give to the Secretary</w:t>
      </w:r>
      <w:r>
        <w:t>,</w:t>
      </w:r>
      <w:r w:rsidRPr="00972577">
        <w:t xml:space="preserve"> in the </w:t>
      </w:r>
      <w:r>
        <w:t xml:space="preserve">manner and form </w:t>
      </w:r>
      <w:r w:rsidRPr="00972577">
        <w:t xml:space="preserve">approved </w:t>
      </w:r>
      <w:r>
        <w:t>by the Secretary</w:t>
      </w:r>
      <w:r w:rsidRPr="00972577">
        <w:t xml:space="preserve">, in relation to each approved course offered by the provider, a list of the fees charged for the course including the tuition fees for each part of the </w:t>
      </w:r>
      <w:r w:rsidRPr="00DC6F74">
        <w:t>course</w:t>
      </w:r>
      <w:r w:rsidRPr="00DC6F74">
        <w:rPr>
          <w:sz w:val="24"/>
          <w:szCs w:val="24"/>
        </w:rPr>
        <w:t xml:space="preserve"> </w:t>
      </w:r>
      <w:r w:rsidRPr="007E503C">
        <w:rPr>
          <w:rStyle w:val="ReferenceChar"/>
        </w:rPr>
        <w:t>[Rules s 115(1)]</w:t>
      </w:r>
      <w:r w:rsidRPr="00DC6F74">
        <w:t>.</w:t>
      </w:r>
      <w:r w:rsidRPr="00736F23">
        <w:t xml:space="preserve"> </w:t>
      </w:r>
      <w:r w:rsidRPr="00972577">
        <w:t xml:space="preserve">The provider must update the list whenever there is a change to the fees charged for the </w:t>
      </w:r>
      <w:r w:rsidRPr="00DC6F74">
        <w:t xml:space="preserve">course </w:t>
      </w:r>
      <w:r w:rsidRPr="007E503C">
        <w:rPr>
          <w:rStyle w:val="ReferenceChar"/>
        </w:rPr>
        <w:t>[Rules s 115(2)]</w:t>
      </w:r>
      <w:r w:rsidRPr="007E503C">
        <w:t>.</w:t>
      </w:r>
    </w:p>
    <w:p w14:paraId="5352A9CF" w14:textId="77777777" w:rsidR="00983AE6" w:rsidRPr="00784226" w:rsidRDefault="00983AE6" w:rsidP="00993767">
      <w:pPr>
        <w:spacing w:after="120"/>
        <w:rPr>
          <w:color w:val="3333FF"/>
          <w:sz w:val="16"/>
          <w:szCs w:val="16"/>
        </w:rPr>
      </w:pPr>
      <w:r w:rsidRPr="00972577">
        <w:t xml:space="preserve">The </w:t>
      </w:r>
      <w:r w:rsidRPr="00972577">
        <w:rPr>
          <w:i/>
        </w:rPr>
        <w:t>My Skills</w:t>
      </w:r>
      <w:r w:rsidRPr="00972577">
        <w:t xml:space="preserve"> website</w:t>
      </w:r>
      <w:r w:rsidRPr="00972577">
        <w:rPr>
          <w:sz w:val="24"/>
          <w:szCs w:val="24"/>
        </w:rPr>
        <w:t xml:space="preserve"> </w:t>
      </w:r>
      <w:r w:rsidRPr="00972577">
        <w:t>(</w:t>
      </w:r>
      <w:hyperlink r:id="rId89" w:history="1">
        <w:r w:rsidRPr="007E503C">
          <w:rPr>
            <w:rStyle w:val="Hyperlink"/>
          </w:rPr>
          <w:t>www.myskills.gov.au</w:t>
        </w:r>
      </w:hyperlink>
      <w:r w:rsidRPr="00972577">
        <w:t>)</w:t>
      </w:r>
      <w:r w:rsidRPr="00972577">
        <w:rPr>
          <w:sz w:val="24"/>
          <w:szCs w:val="24"/>
        </w:rPr>
        <w:t xml:space="preserve"> </w:t>
      </w:r>
      <w:r w:rsidRPr="00972577">
        <w:t xml:space="preserve">is the required form for giving to the Secretary </w:t>
      </w:r>
      <w:r>
        <w:t>the</w:t>
      </w:r>
      <w:r w:rsidRPr="00972577">
        <w:t xml:space="preserve"> list of the current and up to date fee information</w:t>
      </w:r>
      <w:r w:rsidRPr="00227C72">
        <w:t>, including tuition fees and other fees, for approved courses under the VET Student Loans program</w:t>
      </w:r>
      <w:r w:rsidRPr="00227C72">
        <w:rPr>
          <w:sz w:val="24"/>
          <w:szCs w:val="24"/>
        </w:rPr>
        <w:t xml:space="preserve"> </w:t>
      </w:r>
      <w:r w:rsidRPr="007E503C">
        <w:rPr>
          <w:rStyle w:val="ReferenceChar"/>
        </w:rPr>
        <w:t>[Rules s 115(3)]</w:t>
      </w:r>
      <w:r w:rsidRPr="007E503C">
        <w:t>.</w:t>
      </w:r>
      <w:r w:rsidRPr="00784226">
        <w:rPr>
          <w:color w:val="3333FF"/>
          <w:sz w:val="16"/>
          <w:szCs w:val="16"/>
        </w:rPr>
        <w:t xml:space="preserve"> </w:t>
      </w:r>
      <w:r w:rsidRPr="00227C72">
        <w:t>Further, under subsection 115(2), the list must be updated whenever there is a change to the fees charged for the course.</w:t>
      </w:r>
    </w:p>
    <w:p w14:paraId="25494504" w14:textId="77777777" w:rsidR="00983AE6" w:rsidRPr="007E503C" w:rsidRDefault="000138A2" w:rsidP="00993767">
      <w:pPr>
        <w:spacing w:after="120"/>
        <w:rPr>
          <w:rStyle w:val="Strong"/>
        </w:rPr>
      </w:pPr>
      <w:r>
        <w:rPr>
          <w:rStyle w:val="Strong"/>
        </w:rPr>
        <w:t xml:space="preserve">IMPORTANT NOTE: </w:t>
      </w:r>
      <w:r w:rsidR="00983AE6" w:rsidRPr="007E503C">
        <w:rPr>
          <w:rStyle w:val="Strong"/>
        </w:rPr>
        <w:t>Providers must publish course fees on MySkills prior to 1 July 2017 with respect to the 2017 calendar year and with respect to all approved courses for which the provider is approved to offer loans. Thereafter for subsequent calendar years, the list must be uploaded by 1 December of the previous year, or prior to enrolling students in approved courses, whichever is the earlier.</w:t>
      </w:r>
    </w:p>
    <w:p w14:paraId="06E963A1" w14:textId="77777777" w:rsidR="00983AE6" w:rsidRPr="00E64B2B" w:rsidRDefault="00983AE6" w:rsidP="00993767">
      <w:pPr>
        <w:spacing w:after="120"/>
      </w:pPr>
      <w:r w:rsidRPr="00ED3527">
        <w:t>For guidance on how to publish tuition fees on the My Skills website, providers should access the</w:t>
      </w:r>
      <w:r w:rsidRPr="00FC66B1">
        <w:t xml:space="preserve"> </w:t>
      </w:r>
      <w:hyperlink r:id="rId90" w:history="1">
        <w:r w:rsidR="00560060">
          <w:rPr>
            <w:rStyle w:val="Hyperlink"/>
          </w:rPr>
          <w:t>My </w:t>
        </w:r>
        <w:r w:rsidRPr="007E503C">
          <w:rPr>
            <w:rStyle w:val="Hyperlink"/>
          </w:rPr>
          <w:t>Skills User Guide - Add/Edit Course Price Information</w:t>
        </w:r>
      </w:hyperlink>
      <w:r w:rsidRPr="00FC66B1">
        <w:t>.</w:t>
      </w:r>
    </w:p>
    <w:p w14:paraId="429FBB4E" w14:textId="77777777" w:rsidR="00983AE6" w:rsidRPr="009639E1" w:rsidRDefault="00983AE6" w:rsidP="00286A08">
      <w:pPr>
        <w:pStyle w:val="Heading5"/>
      </w:pPr>
      <w:bookmarkStart w:id="2599" w:name="_Giving_the_Secretary_1"/>
      <w:bookmarkStart w:id="2600" w:name="_Fee_periods"/>
      <w:bookmarkStart w:id="2601" w:name="_Charging_of_tuition"/>
      <w:bookmarkStart w:id="2602" w:name="_Toc481505245"/>
      <w:bookmarkStart w:id="2603" w:name="_Toc483209567"/>
      <w:bookmarkStart w:id="2604" w:name="_Toc483222896"/>
      <w:bookmarkStart w:id="2605" w:name="_Toc471374444"/>
      <w:bookmarkEnd w:id="2599"/>
      <w:bookmarkEnd w:id="2600"/>
      <w:bookmarkEnd w:id="2601"/>
      <w:r w:rsidRPr="009639E1">
        <w:t>Charging of tuition fees</w:t>
      </w:r>
      <w:bookmarkEnd w:id="2602"/>
      <w:bookmarkEnd w:id="2603"/>
      <w:bookmarkEnd w:id="2604"/>
    </w:p>
    <w:p w14:paraId="04E1726F" w14:textId="77777777" w:rsidR="00983AE6" w:rsidRPr="00B269CD" w:rsidRDefault="00983AE6" w:rsidP="00993767">
      <w:pPr>
        <w:spacing w:after="120"/>
      </w:pPr>
      <w:bookmarkStart w:id="2606" w:name="_Toc481505246"/>
      <w:bookmarkStart w:id="2607" w:name="_Toc483209568"/>
      <w:bookmarkStart w:id="2608" w:name="_Toc483222897"/>
      <w:r w:rsidRPr="00293C00">
        <w:t>Different requirements apply to charging of tuition fees by:</w:t>
      </w:r>
      <w:bookmarkEnd w:id="2606"/>
      <w:bookmarkEnd w:id="2607"/>
      <w:bookmarkEnd w:id="2608"/>
    </w:p>
    <w:p w14:paraId="57EFD0A8" w14:textId="77777777" w:rsidR="00983AE6" w:rsidRDefault="00983AE6" w:rsidP="00A0727A">
      <w:pPr>
        <w:pStyle w:val="ListBullet"/>
        <w:numPr>
          <w:ilvl w:val="0"/>
          <w:numId w:val="74"/>
        </w:numPr>
      </w:pPr>
      <w:bookmarkStart w:id="2609" w:name="_Toc481505247"/>
      <w:r>
        <w:t>approved course providers that are Table A providers, and</w:t>
      </w:r>
      <w:bookmarkEnd w:id="2609"/>
      <w:r>
        <w:t xml:space="preserve"> </w:t>
      </w:r>
    </w:p>
    <w:p w14:paraId="2624B00C" w14:textId="77777777" w:rsidR="00983AE6" w:rsidRDefault="00983AE6" w:rsidP="00A0727A">
      <w:pPr>
        <w:pStyle w:val="ListBullet"/>
        <w:numPr>
          <w:ilvl w:val="0"/>
          <w:numId w:val="74"/>
        </w:numPr>
      </w:pPr>
      <w:bookmarkStart w:id="2610" w:name="_Toc481505248"/>
      <w:r>
        <w:t>other approved course providers.</w:t>
      </w:r>
      <w:bookmarkEnd w:id="2610"/>
      <w:r>
        <w:t xml:space="preserve"> </w:t>
      </w:r>
    </w:p>
    <w:p w14:paraId="68828F3A" w14:textId="77777777" w:rsidR="00983AE6" w:rsidRPr="000E772B" w:rsidRDefault="00983AE6" w:rsidP="00993767">
      <w:pPr>
        <w:spacing w:after="120"/>
      </w:pPr>
      <w:bookmarkStart w:id="2611" w:name="_Toc481505249"/>
      <w:r w:rsidRPr="000E772B">
        <w:t>Table A providers are the higher education providers listed at subsection 16-15(1) of HESA.</w:t>
      </w:r>
      <w:bookmarkEnd w:id="2611"/>
      <w:r w:rsidRPr="000E772B">
        <w:t xml:space="preserve"> </w:t>
      </w:r>
    </w:p>
    <w:p w14:paraId="73BDA039" w14:textId="77777777" w:rsidR="00983AE6" w:rsidRPr="00293C00" w:rsidRDefault="00983AE6" w:rsidP="00286A08">
      <w:pPr>
        <w:pStyle w:val="Heading5"/>
      </w:pPr>
      <w:bookmarkStart w:id="2612" w:name="_Toc481505250"/>
      <w:bookmarkStart w:id="2613" w:name="_Toc483209569"/>
      <w:bookmarkStart w:id="2614" w:name="_Toc483222898"/>
      <w:r w:rsidRPr="00293C00">
        <w:t>Charging of tuition fees by Table A providers</w:t>
      </w:r>
      <w:bookmarkEnd w:id="2612"/>
      <w:bookmarkEnd w:id="2613"/>
      <w:bookmarkEnd w:id="2614"/>
    </w:p>
    <w:p w14:paraId="4CB8AA16" w14:textId="77777777" w:rsidR="00983AE6" w:rsidRPr="003811F5" w:rsidRDefault="00983AE6" w:rsidP="00993767">
      <w:pPr>
        <w:spacing w:after="120"/>
      </w:pPr>
      <w:bookmarkStart w:id="2615" w:name="_Toc481505251"/>
      <w:r w:rsidRPr="003811F5">
        <w:t>An approved course provider that is a Table A provider may charge a student tuition fees for an approved course provided by the provider only in a way that is consistent with</w:t>
      </w:r>
      <w:r>
        <w:t>:</w:t>
      </w:r>
      <w:r w:rsidRPr="003811F5">
        <w:t xml:space="preserve"> </w:t>
      </w:r>
      <w:bookmarkEnd w:id="2615"/>
    </w:p>
    <w:p w14:paraId="6361DFBD" w14:textId="77777777" w:rsidR="00983AE6" w:rsidRPr="00FB5AD3" w:rsidRDefault="00983AE6" w:rsidP="00A0727A">
      <w:pPr>
        <w:pStyle w:val="ListBullet"/>
        <w:numPr>
          <w:ilvl w:val="0"/>
          <w:numId w:val="74"/>
        </w:numPr>
      </w:pPr>
      <w:bookmarkStart w:id="2616" w:name="_Toc481505252"/>
      <w:r w:rsidRPr="00FB5AD3">
        <w:t>the delivery of the course, and</w:t>
      </w:r>
      <w:bookmarkEnd w:id="2616"/>
      <w:r w:rsidRPr="00FB5AD3">
        <w:t xml:space="preserve"> </w:t>
      </w:r>
    </w:p>
    <w:p w14:paraId="3CD13605" w14:textId="77777777" w:rsidR="00983AE6" w:rsidRPr="00FB5AD3" w:rsidRDefault="00983AE6" w:rsidP="00A0727A">
      <w:pPr>
        <w:pStyle w:val="ListBullet"/>
        <w:numPr>
          <w:ilvl w:val="0"/>
          <w:numId w:val="74"/>
        </w:numPr>
      </w:pPr>
      <w:bookmarkStart w:id="2617" w:name="_Toc481505253"/>
      <w:r w:rsidRPr="00FB5AD3">
        <w:t>the student’s participation in the course</w:t>
      </w:r>
      <w:r>
        <w:t xml:space="preserve"> </w:t>
      </w:r>
      <w:r w:rsidRPr="007E503C">
        <w:rPr>
          <w:rStyle w:val="ReferenceChar"/>
        </w:rPr>
        <w:t>[Rules s 120]</w:t>
      </w:r>
      <w:r w:rsidRPr="00FB5AD3">
        <w:t>.</w:t>
      </w:r>
      <w:bookmarkEnd w:id="2617"/>
      <w:r w:rsidRPr="00FB5AD3">
        <w:t xml:space="preserve"> </w:t>
      </w:r>
    </w:p>
    <w:p w14:paraId="411227EC" w14:textId="77777777" w:rsidR="00983AE6" w:rsidRPr="00293C00" w:rsidRDefault="00983AE6" w:rsidP="00286A08">
      <w:pPr>
        <w:pStyle w:val="Heading5"/>
      </w:pPr>
      <w:bookmarkStart w:id="2618" w:name="_Toc481505254"/>
      <w:bookmarkStart w:id="2619" w:name="_Toc483209570"/>
      <w:bookmarkStart w:id="2620" w:name="_Toc483222899"/>
      <w:r w:rsidRPr="00293C00">
        <w:t>Charging tuition fees by other approved course providers</w:t>
      </w:r>
      <w:bookmarkEnd w:id="2618"/>
      <w:bookmarkEnd w:id="2619"/>
      <w:bookmarkEnd w:id="2620"/>
    </w:p>
    <w:p w14:paraId="709254DC" w14:textId="39D6C45C" w:rsidR="00983AE6" w:rsidRDefault="00983AE6" w:rsidP="00993767">
      <w:pPr>
        <w:spacing w:after="120"/>
        <w:rPr>
          <w:b/>
          <w:i/>
          <w:color w:val="7030A0"/>
        </w:rPr>
      </w:pPr>
      <w:bookmarkStart w:id="2621" w:name="_Toc481505255"/>
      <w:r w:rsidRPr="00FB5AD3">
        <w:t xml:space="preserve">The following sections re ‘Fee periods,’ ‘Length of fee periods,’ ‘Charging tuition fees over periods of the course’ and ‘Exemption from fee period requirements to comply with State or Territory funding </w:t>
      </w:r>
      <w:r w:rsidRPr="00FB5AD3">
        <w:lastRenderedPageBreak/>
        <w:t>arrangements’ apply to the charging of tuition fees by approved course</w:t>
      </w:r>
      <w:r w:rsidR="009325D4">
        <w:t xml:space="preserve"> providers, which are not Table </w:t>
      </w:r>
      <w:r w:rsidRPr="00FB5AD3">
        <w:t>A providers.</w:t>
      </w:r>
      <w:bookmarkEnd w:id="2621"/>
      <w:r w:rsidRPr="00FB5AD3">
        <w:t xml:space="preserve"> </w:t>
      </w:r>
      <w:bookmarkStart w:id="2622" w:name="_Toc481505256"/>
    </w:p>
    <w:p w14:paraId="38CE6ABE" w14:textId="24E062D0" w:rsidR="00B269CD" w:rsidRPr="00FC5808" w:rsidRDefault="00B269CD" w:rsidP="00FC5808">
      <w:r w:rsidRPr="00FC5808">
        <w:t>For information about refunding tuition fees see ‘</w:t>
      </w:r>
      <w:hyperlink w:anchor="_Refund_of_tuition_1" w:history="1">
        <w:r w:rsidRPr="00FC5808">
          <w:rPr>
            <w:rStyle w:val="Hyperlink"/>
          </w:rPr>
          <w:t>Refund of tuiti</w:t>
        </w:r>
        <w:r w:rsidR="00FC5808" w:rsidRPr="00FC5808">
          <w:rPr>
            <w:rStyle w:val="Hyperlink"/>
          </w:rPr>
          <w:t xml:space="preserve">on fees where student withdraws </w:t>
        </w:r>
        <w:r w:rsidRPr="00FC5808">
          <w:rPr>
            <w:rStyle w:val="Hyperlink"/>
          </w:rPr>
          <w:t>by the census day</w:t>
        </w:r>
      </w:hyperlink>
      <w:r w:rsidRPr="00FC5808">
        <w:t>’</w:t>
      </w:r>
    </w:p>
    <w:p w14:paraId="472A67EB" w14:textId="77777777" w:rsidR="00503970" w:rsidRPr="00293C00" w:rsidRDefault="00503970" w:rsidP="00286A08">
      <w:pPr>
        <w:pStyle w:val="Heading5"/>
      </w:pPr>
      <w:r w:rsidRPr="00293C00">
        <w:t>Fees other than tuition</w:t>
      </w:r>
    </w:p>
    <w:p w14:paraId="40E16C2D" w14:textId="77777777" w:rsidR="00503970" w:rsidRPr="00736F23" w:rsidRDefault="00503970" w:rsidP="009325D4">
      <w:pPr>
        <w:spacing w:after="120"/>
        <w:rPr>
          <w:rFonts w:cstheme="minorHAnsi"/>
        </w:rPr>
      </w:pPr>
      <w:r w:rsidRPr="00736F23">
        <w:rPr>
          <w:rFonts w:cstheme="minorHAnsi"/>
        </w:rPr>
        <w:t xml:space="preserve">An approved </w:t>
      </w:r>
      <w:r>
        <w:rPr>
          <w:rFonts w:cstheme="minorHAnsi"/>
        </w:rPr>
        <w:t xml:space="preserve">course </w:t>
      </w:r>
      <w:r w:rsidRPr="00736F23">
        <w:rPr>
          <w:rFonts w:cstheme="minorHAnsi"/>
        </w:rPr>
        <w:t xml:space="preserve">provider must not charge fees other than tuition fees unless the provider has processes and </w:t>
      </w:r>
      <w:r w:rsidRPr="009325D4">
        <w:t>procedures</w:t>
      </w:r>
      <w:r w:rsidRPr="00736F23">
        <w:rPr>
          <w:rFonts w:cstheme="minorHAnsi"/>
        </w:rPr>
        <w:t xml:space="preserve"> for ensuring that students understand the following:</w:t>
      </w:r>
    </w:p>
    <w:p w14:paraId="22FFD0F8" w14:textId="77777777" w:rsidR="00503970" w:rsidRPr="0017660C" w:rsidRDefault="00503970" w:rsidP="00A0727A">
      <w:pPr>
        <w:pStyle w:val="ListBullet"/>
        <w:numPr>
          <w:ilvl w:val="0"/>
          <w:numId w:val="74"/>
        </w:numPr>
      </w:pPr>
      <w:r w:rsidRPr="0017660C">
        <w:t>that the fees are not for tuition</w:t>
      </w:r>
    </w:p>
    <w:p w14:paraId="4B006CAC" w14:textId="77777777" w:rsidR="00503970" w:rsidRPr="00DA16F7" w:rsidRDefault="00503970" w:rsidP="00A0727A">
      <w:pPr>
        <w:pStyle w:val="ListBullet"/>
        <w:numPr>
          <w:ilvl w:val="0"/>
          <w:numId w:val="74"/>
        </w:numPr>
      </w:pPr>
      <w:r w:rsidRPr="00DA16F7">
        <w:t>the purpose of the fees</w:t>
      </w:r>
    </w:p>
    <w:p w14:paraId="6A55CD43" w14:textId="77777777" w:rsidR="00503970" w:rsidRPr="00736F23" w:rsidRDefault="00503970" w:rsidP="00A0727A">
      <w:pPr>
        <w:pStyle w:val="ListBullet"/>
        <w:numPr>
          <w:ilvl w:val="0"/>
          <w:numId w:val="74"/>
        </w:numPr>
      </w:pPr>
      <w:r w:rsidRPr="00736F23">
        <w:t>the student’s total liability for the fees</w:t>
      </w:r>
    </w:p>
    <w:p w14:paraId="78B067D1" w14:textId="77777777" w:rsidR="00503970" w:rsidRPr="00736F23" w:rsidRDefault="00503970" w:rsidP="00A0727A">
      <w:pPr>
        <w:pStyle w:val="ListBullet"/>
        <w:numPr>
          <w:ilvl w:val="0"/>
          <w:numId w:val="74"/>
        </w:numPr>
        <w:rPr>
          <w:rFonts w:cstheme="minorHAnsi"/>
          <w:spacing w:val="-1"/>
          <w:sz w:val="20"/>
        </w:rPr>
      </w:pPr>
      <w:r w:rsidRPr="0017660C">
        <w:t>when</w:t>
      </w:r>
      <w:r w:rsidRPr="00736F23">
        <w:rPr>
          <w:rFonts w:cstheme="minorHAnsi"/>
          <w:spacing w:val="-1"/>
          <w:sz w:val="20"/>
        </w:rPr>
        <w:t xml:space="preserve"> </w:t>
      </w:r>
      <w:r w:rsidRPr="00736F23">
        <w:rPr>
          <w:rFonts w:cstheme="minorHAnsi"/>
        </w:rPr>
        <w:t>and how the fees are to be paid</w:t>
      </w:r>
      <w:r w:rsidRPr="00E15FC0">
        <w:rPr>
          <w:rFonts w:cstheme="minorHAnsi"/>
          <w:color w:val="3333FF"/>
          <w:sz w:val="16"/>
          <w:szCs w:val="16"/>
        </w:rPr>
        <w:t xml:space="preserve"> </w:t>
      </w:r>
      <w:r w:rsidRPr="002B4253">
        <w:rPr>
          <w:rStyle w:val="ReferenceChar"/>
        </w:rPr>
        <w:t>[Rules s 93(1)]</w:t>
      </w:r>
      <w:r w:rsidRPr="00736F23">
        <w:rPr>
          <w:rFonts w:cstheme="minorHAnsi"/>
          <w:sz w:val="20"/>
          <w:szCs w:val="20"/>
        </w:rPr>
        <w:t>.</w:t>
      </w:r>
    </w:p>
    <w:p w14:paraId="228BAD05" w14:textId="77777777" w:rsidR="00503970" w:rsidRDefault="00503970" w:rsidP="00503970">
      <w:r w:rsidRPr="00736F23">
        <w:t>Examples of fees and charges that are not co</w:t>
      </w:r>
      <w:r>
        <w:t>vered fees but are fees and char</w:t>
      </w:r>
      <w:r w:rsidRPr="00736F23">
        <w:t xml:space="preserve">ges that may be charged separately are set out in </w:t>
      </w:r>
      <w:hyperlink w:anchor="_Appendix_G_–" w:history="1">
        <w:r w:rsidRPr="002B4253">
          <w:rPr>
            <w:rStyle w:val="Hyperlink"/>
          </w:rPr>
          <w:t>Appendix F</w:t>
        </w:r>
      </w:hyperlink>
      <w:r w:rsidRPr="002B4253">
        <w:t>.</w:t>
      </w:r>
    </w:p>
    <w:p w14:paraId="63796877" w14:textId="77777777" w:rsidR="00503970" w:rsidRDefault="00503970" w:rsidP="00503970">
      <w:r>
        <w:t xml:space="preserve">Also note matters that cannot be regarded in </w:t>
      </w:r>
      <w:hyperlink w:anchor="_Determining_tuition_fees" w:history="1">
        <w:r w:rsidRPr="002B4253">
          <w:rPr>
            <w:rStyle w:val="Hyperlink"/>
          </w:rPr>
          <w:t>determining tuition fees</w:t>
        </w:r>
      </w:hyperlink>
      <w:r>
        <w:t>.</w:t>
      </w:r>
    </w:p>
    <w:p w14:paraId="43A97A4B" w14:textId="77777777" w:rsidR="00503970" w:rsidRPr="00293C00" w:rsidRDefault="00503970" w:rsidP="00286A08">
      <w:pPr>
        <w:pStyle w:val="Heading5"/>
      </w:pPr>
      <w:r w:rsidRPr="00293C00">
        <w:t>Fees that cannot be charged</w:t>
      </w:r>
    </w:p>
    <w:p w14:paraId="57C559A6" w14:textId="77777777" w:rsidR="00503970" w:rsidRPr="00736F23" w:rsidRDefault="00503970" w:rsidP="00503970">
      <w:r w:rsidRPr="00736F23">
        <w:t xml:space="preserve">An approved </w:t>
      </w:r>
      <w:r>
        <w:t xml:space="preserve">course </w:t>
      </w:r>
      <w:r w:rsidRPr="00736F23">
        <w:t>provider’s processes and procedures in relation to fees other than tuition fees must not require fees to be paid for:</w:t>
      </w:r>
    </w:p>
    <w:p w14:paraId="490D1D4E" w14:textId="77777777" w:rsidR="00503970" w:rsidRPr="00736F23" w:rsidRDefault="00503970" w:rsidP="00A0727A">
      <w:pPr>
        <w:pStyle w:val="ListBullet"/>
        <w:numPr>
          <w:ilvl w:val="0"/>
          <w:numId w:val="74"/>
        </w:numPr>
      </w:pPr>
      <w:r w:rsidRPr="00736F23">
        <w:t xml:space="preserve">assessments to determine whether a student is academically suited to undertake a course and </w:t>
      </w:r>
    </w:p>
    <w:p w14:paraId="172A17AC" w14:textId="77777777" w:rsidR="00503970" w:rsidRPr="00784226" w:rsidRDefault="00503970" w:rsidP="00A0727A">
      <w:pPr>
        <w:pStyle w:val="ListBullet"/>
        <w:numPr>
          <w:ilvl w:val="0"/>
          <w:numId w:val="74"/>
        </w:numPr>
      </w:pPr>
      <w:r w:rsidRPr="00736F23">
        <w:t xml:space="preserve">applying for enrolment, or enrolling in, an approved course </w:t>
      </w:r>
      <w:r w:rsidRPr="002B4253">
        <w:rPr>
          <w:rStyle w:val="ReferenceChar"/>
        </w:rPr>
        <w:t>[Rules s 93(2)]</w:t>
      </w:r>
      <w:r w:rsidRPr="00784226">
        <w:t>.</w:t>
      </w:r>
    </w:p>
    <w:p w14:paraId="2A9F7546" w14:textId="3AF5AD03" w:rsidR="00CE1F26" w:rsidRPr="00CE1F26" w:rsidRDefault="00503970" w:rsidP="0028499D">
      <w:r w:rsidRPr="00F414B8">
        <w:t>Examples of other goods and services for which a provider must not charge a fee is</w:t>
      </w:r>
      <w:r w:rsidRPr="007054A5">
        <w:rPr>
          <w:rFonts w:cstheme="minorHAnsi"/>
        </w:rPr>
        <w:t xml:space="preserve"> at </w:t>
      </w:r>
      <w:hyperlink w:anchor="_Appendix_H_-" w:history="1">
        <w:r w:rsidRPr="00F414B8">
          <w:rPr>
            <w:rStyle w:val="Hyperlink"/>
          </w:rPr>
          <w:t>Appendix G</w:t>
        </w:r>
      </w:hyperlink>
      <w:r w:rsidRPr="007054A5">
        <w:rPr>
          <w:rFonts w:cstheme="minorHAnsi"/>
        </w:rPr>
        <w:t>.</w:t>
      </w:r>
    </w:p>
    <w:p w14:paraId="5545834F" w14:textId="1C2DF7C2" w:rsidR="00503970" w:rsidRPr="00220B2E" w:rsidRDefault="00572874" w:rsidP="00503970">
      <w:pPr>
        <w:pStyle w:val="Heading3"/>
      </w:pPr>
      <w:bookmarkStart w:id="2623" w:name="_4.8.11_Recognition_of"/>
      <w:bookmarkStart w:id="2624" w:name="_Toc501621224"/>
      <w:bookmarkEnd w:id="2623"/>
      <w:r w:rsidRPr="00220B2E">
        <w:t>4.8.1</w:t>
      </w:r>
      <w:r w:rsidR="00FC5808">
        <w:t>1</w:t>
      </w:r>
      <w:r w:rsidRPr="00220B2E">
        <w:t xml:space="preserve"> Recognition</w:t>
      </w:r>
      <w:r w:rsidR="00503970" w:rsidRPr="00220B2E">
        <w:t xml:space="preserve"> of prior learning (RPL), fees and reporting requirements</w:t>
      </w:r>
      <w:bookmarkEnd w:id="2624"/>
    </w:p>
    <w:p w14:paraId="66CB6090" w14:textId="77777777" w:rsidR="00503970" w:rsidRPr="00220B2E" w:rsidRDefault="00503970" w:rsidP="00503970">
      <w:pPr>
        <w:rPr>
          <w:color w:val="000000" w:themeColor="text1"/>
        </w:rPr>
      </w:pPr>
      <w:r w:rsidRPr="00220B2E">
        <w:rPr>
          <w:color w:val="000000" w:themeColor="text1"/>
        </w:rPr>
        <w:t xml:space="preserve">For the purposes of reporting Recognition of prior learning (RPL), RPL is defined as the acknowledgement of a person's skills and knowledge acquired through previous training, work or life experience, which may be used to grant status or credit in a unit.  The granting of status or credit by an institution or training organisation to students </w:t>
      </w:r>
      <w:r w:rsidRPr="00220B2E">
        <w:rPr>
          <w:color w:val="000000" w:themeColor="text1"/>
          <w:u w:val="single"/>
        </w:rPr>
        <w:t>for existing qualifications or units of competency completed or previously formally recognised</w:t>
      </w:r>
      <w:r w:rsidRPr="00220B2E">
        <w:rPr>
          <w:color w:val="000000" w:themeColor="text1"/>
        </w:rPr>
        <w:t xml:space="preserve"> at the same or another institution or training organisation </w:t>
      </w:r>
      <w:r w:rsidRPr="00220B2E">
        <w:rPr>
          <w:color w:val="000000" w:themeColor="text1"/>
          <w:u w:val="single"/>
        </w:rPr>
        <w:t>does not</w:t>
      </w:r>
      <w:r w:rsidRPr="00220B2E">
        <w:rPr>
          <w:color w:val="000000" w:themeColor="text1"/>
        </w:rPr>
        <w:t xml:space="preserve"> constitute RPL.</w:t>
      </w:r>
    </w:p>
    <w:p w14:paraId="23445F9D" w14:textId="77777777" w:rsidR="00503970" w:rsidRPr="00220B2E" w:rsidRDefault="00503970" w:rsidP="00503970">
      <w:pPr>
        <w:rPr>
          <w:i/>
          <w:iCs/>
          <w:color w:val="000000" w:themeColor="text1"/>
        </w:rPr>
      </w:pPr>
      <w:r w:rsidRPr="00220B2E">
        <w:rPr>
          <w:color w:val="000000" w:themeColor="text1"/>
        </w:rPr>
        <w:t xml:space="preserve">The </w:t>
      </w:r>
      <w:hyperlink r:id="rId91" w:history="1">
        <w:r w:rsidRPr="00220B2E">
          <w:rPr>
            <w:rStyle w:val="Hyperlink"/>
            <w:i/>
            <w:color w:val="000000" w:themeColor="text1"/>
          </w:rPr>
          <w:t>Standards for Registered Training Organisations (RTOs) 2015</w:t>
        </w:r>
      </w:hyperlink>
      <w:r w:rsidRPr="00220B2E">
        <w:rPr>
          <w:color w:val="000000" w:themeColor="text1"/>
        </w:rPr>
        <w:t xml:space="preserve"> (the Standards) deal with RPL as a method of assessment against a training product’s requirements (refer Standard 1).  We note the Users’ Guide to the Standards (currently accessible at</w:t>
      </w:r>
      <w:r w:rsidRPr="00220B2E">
        <w:rPr>
          <w:i/>
          <w:iCs/>
          <w:color w:val="000000" w:themeColor="text1"/>
        </w:rPr>
        <w:t xml:space="preserve"> </w:t>
      </w:r>
      <w:hyperlink r:id="rId92" w:history="1">
        <w:r w:rsidRPr="00220B2E">
          <w:rPr>
            <w:rStyle w:val="Hyperlink"/>
            <w:i/>
            <w:iCs/>
          </w:rPr>
          <w:t>www.asqa.gov.au/sites/g/files/net2166/f/Users_Guide_to_the_Standards_for_Registered_Training_Organisations_RTOs_2015.pdf</w:t>
        </w:r>
      </w:hyperlink>
      <w:r w:rsidRPr="00220B2E">
        <w:rPr>
          <w:i/>
          <w:iCs/>
          <w:color w:val="000000" w:themeColor="text1"/>
        </w:rPr>
        <w:t xml:space="preserve">) </w:t>
      </w:r>
      <w:r w:rsidRPr="00220B2E">
        <w:rPr>
          <w:iCs/>
          <w:color w:val="000000" w:themeColor="text1"/>
        </w:rPr>
        <w:t>on page 26 regarding Clause 1.12 of the Standards, relevantly states:</w:t>
      </w:r>
      <w:r w:rsidRPr="00220B2E">
        <w:rPr>
          <w:i/>
          <w:iCs/>
          <w:color w:val="000000" w:themeColor="text1"/>
        </w:rPr>
        <w:t xml:space="preserve">  </w:t>
      </w:r>
    </w:p>
    <w:p w14:paraId="1114C1B6" w14:textId="77777777" w:rsidR="00503970" w:rsidRPr="00220B2E" w:rsidRDefault="00503970" w:rsidP="00503970">
      <w:pPr>
        <w:ind w:left="720"/>
        <w:rPr>
          <w:i/>
          <w:iCs/>
          <w:color w:val="000000" w:themeColor="text1"/>
        </w:rPr>
      </w:pPr>
      <w:r w:rsidRPr="00220B2E">
        <w:rPr>
          <w:i/>
          <w:iCs/>
          <w:color w:val="000000" w:themeColor="text1"/>
        </w:rPr>
        <w:t>“[r]ecognition of prior learning is simply a form of assessment of a learner’s competence. Recognition of prior learning uses evidence from formal, non-formal and informal learning (rather than from specific assessment activities directed by the RTO). This evidence is often combined with assessment activities sometimes known as ‘challenge testing’. As such, recognition of prior learning must be conducted with the same rigour as any other form of assessment”.</w:t>
      </w:r>
    </w:p>
    <w:p w14:paraId="64581504" w14:textId="77777777" w:rsidR="00503970" w:rsidRPr="00220B2E" w:rsidRDefault="00503970" w:rsidP="00F15113">
      <w:pPr>
        <w:keepNext/>
        <w:keepLines/>
        <w:rPr>
          <w:iCs/>
          <w:color w:val="000000" w:themeColor="text1"/>
        </w:rPr>
      </w:pPr>
      <w:r w:rsidRPr="00220B2E">
        <w:rPr>
          <w:iCs/>
          <w:color w:val="000000" w:themeColor="text1"/>
        </w:rPr>
        <w:lastRenderedPageBreak/>
        <w:t xml:space="preserve">We </w:t>
      </w:r>
      <w:r w:rsidRPr="00220B2E">
        <w:t>further</w:t>
      </w:r>
      <w:r w:rsidRPr="00220B2E">
        <w:rPr>
          <w:iCs/>
          <w:color w:val="000000" w:themeColor="text1"/>
        </w:rPr>
        <w:t xml:space="preserve"> note that page 55 of the Users’ Guide relevantly states, in relation to granting of status or credit: </w:t>
      </w:r>
    </w:p>
    <w:p w14:paraId="222B399C" w14:textId="77777777" w:rsidR="00503970" w:rsidRPr="00220B2E" w:rsidRDefault="00503970" w:rsidP="00503970">
      <w:pPr>
        <w:ind w:left="720"/>
        <w:rPr>
          <w:i/>
          <w:iCs/>
          <w:color w:val="000000" w:themeColor="text1"/>
        </w:rPr>
      </w:pPr>
      <w:r w:rsidRPr="00220B2E">
        <w:rPr>
          <w:iCs/>
          <w:color w:val="000000" w:themeColor="text1"/>
        </w:rPr>
        <w:t>“</w:t>
      </w:r>
      <w:r w:rsidRPr="00220B2E">
        <w:rPr>
          <w:i/>
          <w:iCs/>
          <w:color w:val="000000" w:themeColor="text1"/>
        </w:rPr>
        <w:t>[n]ote that providing credit for previous studies is not a recognition of prior learning (RPL) process.  RPL is a form of assessment of the competence of a person, while providing credit is recognising the equivalence of studies previously undertaken and completed successfully”.</w:t>
      </w:r>
    </w:p>
    <w:p w14:paraId="6F4DD283" w14:textId="77777777" w:rsidR="00503970" w:rsidRPr="00220B2E" w:rsidRDefault="00503970" w:rsidP="00286A08">
      <w:pPr>
        <w:pStyle w:val="Heading5"/>
      </w:pPr>
      <w:r w:rsidRPr="00220B2E">
        <w:t>Fees</w:t>
      </w:r>
    </w:p>
    <w:p w14:paraId="1791D850" w14:textId="7D80CA1D" w:rsidR="00503970" w:rsidRPr="00220B2E" w:rsidRDefault="00503970" w:rsidP="00503970">
      <w:pPr>
        <w:rPr>
          <w:color w:val="000000" w:themeColor="text1"/>
        </w:rPr>
      </w:pPr>
      <w:r w:rsidRPr="00220B2E">
        <w:rPr>
          <w:color w:val="000000" w:themeColor="text1"/>
        </w:rPr>
        <w:t xml:space="preserve">Providers must determine the tuition fees for each approved course it offers </w:t>
      </w:r>
      <w:r w:rsidRPr="00220B2E">
        <w:rPr>
          <w:rStyle w:val="ReferenceChar"/>
        </w:rPr>
        <w:t>[Act s 55]</w:t>
      </w:r>
      <w:r w:rsidRPr="00220B2E">
        <w:rPr>
          <w:color w:val="000000" w:themeColor="text1"/>
        </w:rPr>
        <w:t xml:space="preserve">, summarised in </w:t>
      </w:r>
      <w:hyperlink w:anchor="_4.8.10__" w:history="1">
        <w:r w:rsidRPr="00B06EFB">
          <w:rPr>
            <w:rStyle w:val="Hyperlink"/>
          </w:rPr>
          <w:t>section 4.8.10</w:t>
        </w:r>
      </w:hyperlink>
      <w:r w:rsidRPr="00220B2E">
        <w:rPr>
          <w:color w:val="000000" w:themeColor="text1"/>
        </w:rPr>
        <w:t xml:space="preserve"> of this manual). In determining tuition fees for an approved </w:t>
      </w:r>
      <w:r w:rsidRPr="00220B2E">
        <w:t>course</w:t>
      </w:r>
      <w:r w:rsidRPr="00220B2E">
        <w:rPr>
          <w:color w:val="000000" w:themeColor="text1"/>
        </w:rPr>
        <w:t xml:space="preserve">, a provider must not have regard to fees payable for anything </w:t>
      </w:r>
      <w:r w:rsidRPr="00220B2E">
        <w:rPr>
          <w:color w:val="000000" w:themeColor="text1"/>
          <w:u w:val="single"/>
        </w:rPr>
        <w:t>other than</w:t>
      </w:r>
      <w:r w:rsidRPr="00220B2E">
        <w:rPr>
          <w:color w:val="000000" w:themeColor="text1"/>
        </w:rPr>
        <w:t xml:space="preserve"> assessing whether a student is academically suited to undertake the course, enrolment in the course, tuition for the course, examination for the course and award of a qualification for completion of the course </w:t>
      </w:r>
      <w:r w:rsidRPr="00220B2E">
        <w:rPr>
          <w:rStyle w:val="ReferenceChar"/>
        </w:rPr>
        <w:t>[Rules paragraph 118(1)(b)]</w:t>
      </w:r>
      <w:r w:rsidRPr="00220B2E">
        <w:rPr>
          <w:color w:val="000000" w:themeColor="text1"/>
        </w:rPr>
        <w:t xml:space="preserve">. Note that this section of the VSL Rules, sets out in full other requirements in relation to determining tuition fees. </w:t>
      </w:r>
    </w:p>
    <w:p w14:paraId="766FE28E" w14:textId="676B8C17" w:rsidR="00503970" w:rsidRPr="00220B2E" w:rsidRDefault="00503970" w:rsidP="00503970">
      <w:pPr>
        <w:rPr>
          <w:color w:val="000000" w:themeColor="text1"/>
        </w:rPr>
      </w:pPr>
      <w:r w:rsidRPr="00220B2E">
        <w:rPr>
          <w:color w:val="000000" w:themeColor="text1"/>
        </w:rPr>
        <w:t xml:space="preserve">Where a student receives recognised prior learning for a particular approved course, it is open to a provider to set a lower tuition fee that is commensurate to the remaining portion of the course the student must complete. Determining tuition fees are discussed in </w:t>
      </w:r>
      <w:hyperlink w:anchor="_4.8.10__" w:history="1">
        <w:r w:rsidRPr="00B06EFB">
          <w:rPr>
            <w:rStyle w:val="Hyperlink"/>
          </w:rPr>
          <w:t>section 4.8.10</w:t>
        </w:r>
      </w:hyperlink>
      <w:r w:rsidRPr="00220B2E">
        <w:rPr>
          <w:color w:val="000000" w:themeColor="text1"/>
        </w:rPr>
        <w:t xml:space="preserve"> of this manual.</w:t>
      </w:r>
    </w:p>
    <w:p w14:paraId="432610C4" w14:textId="177E2DF1" w:rsidR="00503970" w:rsidRPr="00220B2E" w:rsidRDefault="00503970" w:rsidP="00503970">
      <w:pPr>
        <w:rPr>
          <w:color w:val="000000" w:themeColor="text1"/>
        </w:rPr>
      </w:pPr>
      <w:r w:rsidRPr="00220B2E">
        <w:rPr>
          <w:color w:val="000000" w:themeColor="text1"/>
        </w:rPr>
        <w:t xml:space="preserve">If the provider is satisfied that the fee that it charges for the assessment of RPL for the student is within the definition of tuition fees (noting the </w:t>
      </w:r>
      <w:r w:rsidR="00B56924" w:rsidRPr="00220B2E">
        <w:rPr>
          <w:color w:val="000000" w:themeColor="text1"/>
        </w:rPr>
        <w:t>types of fees listed in</w:t>
      </w:r>
      <w:r w:rsidRPr="00220B2E">
        <w:rPr>
          <w:color w:val="000000" w:themeColor="text1"/>
        </w:rPr>
        <w:t xml:space="preserve"> paragraph 118(1)(b) of the VSL Rules), a student can access a VSL loan for a tuition fee that covers the charge for the assessment of RPL, as for other tuition fees. </w:t>
      </w:r>
    </w:p>
    <w:p w14:paraId="3F245351" w14:textId="3C8739F8" w:rsidR="003A6287" w:rsidRPr="00220B2E" w:rsidRDefault="003A6287" w:rsidP="003A6287">
      <w:pPr>
        <w:rPr>
          <w:color w:val="000000" w:themeColor="text1"/>
        </w:rPr>
      </w:pPr>
      <w:r w:rsidRPr="00220B2E">
        <w:rPr>
          <w:color w:val="000000" w:themeColor="text1"/>
        </w:rPr>
        <w:t>Where the provider’s procedure is that only an ‘RPL assessment fee’ is charged (rather than providing additional tuition and requiring the student to enrol in the standard teaching unit, as only RPL assessment is required with no additional tuition), this RPL assessment fee can constitute a tuition fee for which the student can access a VSL loan so long as the provider is satisfied that this RPL assessment fee satisfies the requirements of paragraph 118(1)(b) of the VSL Rules.  RPL unit enrolment is required and the tuition fee for RPL should be reported.</w:t>
      </w:r>
    </w:p>
    <w:p w14:paraId="7BA19A68" w14:textId="4FACAD6F" w:rsidR="00503970" w:rsidRPr="00220B2E" w:rsidRDefault="00503970" w:rsidP="00503970">
      <w:pPr>
        <w:rPr>
          <w:color w:val="000000" w:themeColor="text1"/>
        </w:rPr>
      </w:pPr>
      <w:r w:rsidRPr="00220B2E">
        <w:rPr>
          <w:color w:val="000000" w:themeColor="text1"/>
        </w:rPr>
        <w:t xml:space="preserve">RPL </w:t>
      </w:r>
      <w:r w:rsidR="003A6287" w:rsidRPr="00220B2E">
        <w:rPr>
          <w:color w:val="000000" w:themeColor="text1"/>
        </w:rPr>
        <w:t xml:space="preserve">unit </w:t>
      </w:r>
      <w:r w:rsidRPr="00220B2E">
        <w:rPr>
          <w:color w:val="000000" w:themeColor="text1"/>
        </w:rPr>
        <w:t xml:space="preserve">reporting requirements </w:t>
      </w:r>
      <w:r w:rsidR="00744A49" w:rsidRPr="00220B2E">
        <w:rPr>
          <w:color w:val="000000" w:themeColor="text1"/>
        </w:rPr>
        <w:t xml:space="preserve">are detailed below. </w:t>
      </w:r>
    </w:p>
    <w:p w14:paraId="76DF92E5" w14:textId="7974BD35" w:rsidR="00503970" w:rsidRPr="00220B2E" w:rsidRDefault="00744A49" w:rsidP="009B0E9E">
      <w:pPr>
        <w:pStyle w:val="Heading5"/>
      </w:pPr>
      <w:r w:rsidRPr="00220B2E">
        <w:t>Charging and r</w:t>
      </w:r>
      <w:r w:rsidR="00503970" w:rsidRPr="00220B2E">
        <w:t>eporting</w:t>
      </w:r>
      <w:r w:rsidRPr="00220B2E">
        <w:t xml:space="preserve"> RPL</w:t>
      </w:r>
    </w:p>
    <w:p w14:paraId="5A5ADF15" w14:textId="747755FD" w:rsidR="00B56924" w:rsidRPr="00220B2E" w:rsidRDefault="00503970" w:rsidP="00B56924">
      <w:pPr>
        <w:pStyle w:val="CommentText"/>
        <w:rPr>
          <w:color w:val="000000" w:themeColor="text1"/>
          <w:sz w:val="22"/>
          <w:szCs w:val="22"/>
        </w:rPr>
      </w:pPr>
      <w:r w:rsidRPr="00220B2E">
        <w:rPr>
          <w:color w:val="000000" w:themeColor="text1"/>
          <w:sz w:val="22"/>
          <w:szCs w:val="22"/>
        </w:rPr>
        <w:t>Note, unless the exemption</w:t>
      </w:r>
      <w:r w:rsidR="00744A49" w:rsidRPr="00220B2E">
        <w:rPr>
          <w:color w:val="000000" w:themeColor="text1"/>
          <w:sz w:val="22"/>
          <w:szCs w:val="22"/>
        </w:rPr>
        <w:t xml:space="preserve"> regarding compliance with State or Territory subsidy funding arrangements applies</w:t>
      </w:r>
      <w:r w:rsidRPr="00220B2E">
        <w:rPr>
          <w:color w:val="000000" w:themeColor="text1"/>
          <w:sz w:val="22"/>
          <w:szCs w:val="22"/>
        </w:rPr>
        <w:t xml:space="preserve"> </w:t>
      </w:r>
      <w:r w:rsidR="00744A49" w:rsidRPr="00220B2E">
        <w:rPr>
          <w:rStyle w:val="ReferenceChar"/>
        </w:rPr>
        <w:t>[Rules s 24]</w:t>
      </w:r>
      <w:r w:rsidR="00744A49" w:rsidRPr="00220B2E">
        <w:rPr>
          <w:color w:val="000000" w:themeColor="text1"/>
          <w:sz w:val="22"/>
          <w:szCs w:val="22"/>
        </w:rPr>
        <w:t xml:space="preserve">, </w:t>
      </w:r>
      <w:r w:rsidRPr="00220B2E">
        <w:rPr>
          <w:color w:val="000000" w:themeColor="text1"/>
          <w:sz w:val="22"/>
          <w:szCs w:val="22"/>
        </w:rPr>
        <w:t>fees covered by VSL loans and other tuition fees for approved courses must meet the requirements of sequential and reasonably apportioned fee charging – ie. the fees must be spread across at least three census days over three periods for the course</w:t>
      </w:r>
      <w:r w:rsidR="00744A49" w:rsidRPr="00220B2E">
        <w:rPr>
          <w:color w:val="000000" w:themeColor="text1"/>
        </w:rPr>
        <w:t xml:space="preserve"> </w:t>
      </w:r>
      <w:r w:rsidR="00744A49" w:rsidRPr="00220B2E">
        <w:rPr>
          <w:rStyle w:val="ReferenceChar"/>
        </w:rPr>
        <w:t>[Rules s 122 and 123]</w:t>
      </w:r>
      <w:r w:rsidR="00744A49" w:rsidRPr="00220B2E">
        <w:rPr>
          <w:color w:val="000000" w:themeColor="text1"/>
        </w:rPr>
        <w:t>.</w:t>
      </w:r>
      <w:r w:rsidRPr="00220B2E">
        <w:rPr>
          <w:color w:val="000000" w:themeColor="text1"/>
        </w:rPr>
        <w:t xml:space="preserve"> </w:t>
      </w:r>
      <w:r w:rsidR="00744A49" w:rsidRPr="00220B2E">
        <w:rPr>
          <w:color w:val="000000" w:themeColor="text1"/>
          <w:sz w:val="22"/>
          <w:szCs w:val="22"/>
        </w:rPr>
        <w:t>This includes for RPL</w:t>
      </w:r>
      <w:r w:rsidR="003A6287" w:rsidRPr="00220B2E">
        <w:rPr>
          <w:color w:val="000000" w:themeColor="text1"/>
          <w:sz w:val="22"/>
          <w:szCs w:val="22"/>
        </w:rPr>
        <w:t xml:space="preserve"> units</w:t>
      </w:r>
      <w:r w:rsidR="00744A49" w:rsidRPr="00220B2E">
        <w:rPr>
          <w:color w:val="000000" w:themeColor="text1"/>
          <w:sz w:val="22"/>
          <w:szCs w:val="22"/>
        </w:rPr>
        <w:t xml:space="preserve">.  </w:t>
      </w:r>
      <w:r w:rsidR="00CE1F26" w:rsidRPr="00220B2E">
        <w:rPr>
          <w:color w:val="000000" w:themeColor="text1"/>
          <w:sz w:val="22"/>
          <w:szCs w:val="22"/>
        </w:rPr>
        <w:t>Providers should note that t</w:t>
      </w:r>
      <w:r w:rsidR="00CE1F26" w:rsidRPr="00220B2E">
        <w:rPr>
          <w:sz w:val="22"/>
          <w:szCs w:val="22"/>
        </w:rPr>
        <w:t>he Secretary is not required to pay a loan amount for a student for a course if, relevantly, the Secretary suspects on reasonable grounds that the course provider is not complying with the VSL Act</w:t>
      </w:r>
      <w:r w:rsidR="00CE1F26" w:rsidRPr="00220B2E">
        <w:rPr>
          <w:rStyle w:val="ReferenceChar"/>
        </w:rPr>
        <w:t xml:space="preserve"> [</w:t>
      </w:r>
      <w:r w:rsidR="00CE1F26" w:rsidRPr="00220B2E">
        <w:rPr>
          <w:rStyle w:val="ReferenceChar"/>
          <w:szCs w:val="22"/>
          <w:lang w:val="en-AU"/>
        </w:rPr>
        <w:t xml:space="preserve">Act, s </w:t>
      </w:r>
      <w:r w:rsidR="00CE1F26" w:rsidRPr="00220B2E">
        <w:rPr>
          <w:rStyle w:val="ReferenceChar"/>
        </w:rPr>
        <w:t>20</w:t>
      </w:r>
      <w:r w:rsidR="00B56924" w:rsidRPr="00220B2E">
        <w:rPr>
          <w:rStyle w:val="ReferenceChar"/>
        </w:rPr>
        <w:t>(f)</w:t>
      </w:r>
      <w:r w:rsidR="00CE1F26" w:rsidRPr="00220B2E">
        <w:rPr>
          <w:rStyle w:val="ReferenceChar"/>
          <w:szCs w:val="22"/>
          <w:lang w:val="en-AU"/>
        </w:rPr>
        <w:t>]</w:t>
      </w:r>
      <w:r w:rsidR="00CE1F26" w:rsidRPr="00220B2E">
        <w:rPr>
          <w:sz w:val="22"/>
          <w:szCs w:val="22"/>
        </w:rPr>
        <w:t>. This includes where the provider fails to comply with the requirements of the Rules in relation to tuition fees such as sequential and reasonably apportioned fee charging.</w:t>
      </w:r>
      <w:r w:rsidR="00B56924" w:rsidRPr="00220B2E">
        <w:rPr>
          <w:sz w:val="22"/>
          <w:szCs w:val="22"/>
        </w:rPr>
        <w:t xml:space="preserve"> </w:t>
      </w:r>
      <w:r w:rsidR="00B56924" w:rsidRPr="00220B2E">
        <w:rPr>
          <w:color w:val="000000" w:themeColor="text1"/>
          <w:sz w:val="22"/>
          <w:szCs w:val="22"/>
        </w:rPr>
        <w:t xml:space="preserve">  </w:t>
      </w:r>
    </w:p>
    <w:p w14:paraId="5E4887CC" w14:textId="189F5B69" w:rsidR="00503970" w:rsidRPr="0028499D" w:rsidRDefault="00503970" w:rsidP="00503970">
      <w:pPr>
        <w:rPr>
          <w:color w:val="000000" w:themeColor="text1"/>
        </w:rPr>
      </w:pPr>
      <w:r w:rsidRPr="00220B2E">
        <w:rPr>
          <w:color w:val="000000" w:themeColor="text1"/>
        </w:rPr>
        <w:t xml:space="preserve">If the tuition fee charged for a unit is purely an RPL assessment fee, this is required to be reported with a value against the RPL indicator.  </w:t>
      </w:r>
      <w:r w:rsidR="003A6287" w:rsidRPr="00220B2E">
        <w:rPr>
          <w:color w:val="000000" w:themeColor="text1"/>
        </w:rPr>
        <w:t xml:space="preserve">If the unit is fundamentally a teaching unit, the value against the RPL indicator will be zero.  </w:t>
      </w:r>
      <w:r w:rsidRPr="00220B2E">
        <w:rPr>
          <w:color w:val="000000" w:themeColor="text1"/>
        </w:rPr>
        <w:t>Full details of the reporting requirements are covered in the HEIMSHELP coding notes and glossary.  The glossary provides an RPL definition (</w:t>
      </w:r>
      <w:hyperlink r:id="rId93" w:history="1">
        <w:r w:rsidR="003A6287" w:rsidRPr="00220B2E">
          <w:rPr>
            <w:rStyle w:val="Hyperlink"/>
          </w:rPr>
          <w:t>http://heimshelp.education.gov.au/sites/heimshelp/resources/glossary/pages/glossaryterm?title=Recognition of prior learning</w:t>
        </w:r>
      </w:hyperlink>
      <w:r w:rsidRPr="00220B2E">
        <w:rPr>
          <w:color w:val="000000" w:themeColor="text1"/>
        </w:rPr>
        <w:t>) as well as a PDF document explaining how RPL should be reported (</w:t>
      </w:r>
      <w:hyperlink r:id="rId94" w:history="1">
        <w:r w:rsidR="003A6287" w:rsidRPr="00220B2E">
          <w:rPr>
            <w:rStyle w:val="Hyperlink"/>
          </w:rPr>
          <w:t>http://heimshelp.education.gov.au/sites/heimshelp/Resources/Documents/Reporting-RPL-Diagram.pdf</w:t>
        </w:r>
      </w:hyperlink>
      <w:r w:rsidRPr="00220B2E">
        <w:rPr>
          <w:color w:val="000000" w:themeColor="text1"/>
        </w:rPr>
        <w:t>).</w:t>
      </w:r>
      <w:r w:rsidRPr="0028499D">
        <w:rPr>
          <w:color w:val="000000" w:themeColor="text1"/>
        </w:rPr>
        <w:t xml:space="preserve">  </w:t>
      </w:r>
    </w:p>
    <w:p w14:paraId="61E1C760" w14:textId="3A3F5028" w:rsidR="00983AE6" w:rsidRPr="00293C00" w:rsidRDefault="00503970" w:rsidP="0028499D">
      <w:pPr>
        <w:pStyle w:val="Heading3"/>
        <w:keepNext/>
        <w:keepLines/>
      </w:pPr>
      <w:bookmarkStart w:id="2625" w:name="_Fee_periods_1"/>
      <w:bookmarkStart w:id="2626" w:name="_4.8.12__"/>
      <w:bookmarkStart w:id="2627" w:name="_Toc483209572"/>
      <w:bookmarkStart w:id="2628" w:name="_Toc483222901"/>
      <w:bookmarkStart w:id="2629" w:name="_Toc501621225"/>
      <w:bookmarkEnd w:id="2625"/>
      <w:bookmarkEnd w:id="2626"/>
      <w:r>
        <w:lastRenderedPageBreak/>
        <w:t>4.8.1</w:t>
      </w:r>
      <w:r w:rsidR="00FC5808">
        <w:t>2</w:t>
      </w:r>
      <w:r>
        <w:t xml:space="preserve">   </w:t>
      </w:r>
      <w:r w:rsidR="00983AE6" w:rsidRPr="00293C00">
        <w:t>Fee periods</w:t>
      </w:r>
      <w:bookmarkEnd w:id="2605"/>
      <w:bookmarkEnd w:id="2622"/>
      <w:bookmarkEnd w:id="2627"/>
      <w:bookmarkEnd w:id="2628"/>
      <w:bookmarkEnd w:id="2629"/>
    </w:p>
    <w:p w14:paraId="2DAA8B3D" w14:textId="17C11FF1" w:rsidR="00983AE6" w:rsidRPr="00FB5AD3" w:rsidRDefault="00983AE6" w:rsidP="00993767">
      <w:pPr>
        <w:spacing w:after="120"/>
      </w:pPr>
      <w:r w:rsidRPr="00FB5AD3">
        <w:t>A provider must determine at least three fee periods for an approved course and may determine different fee periods for different students</w:t>
      </w:r>
      <w:r>
        <w:t xml:space="preserve">. For example </w:t>
      </w:r>
      <w:r w:rsidRPr="00FB5AD3">
        <w:t xml:space="preserve">part time students may have longer fee periods </w:t>
      </w:r>
      <w:r w:rsidRPr="007E503C">
        <w:rPr>
          <w:rStyle w:val="ReferenceChar"/>
        </w:rPr>
        <w:t>[Rules s 123]</w:t>
      </w:r>
      <w:r w:rsidRPr="00FB5AD3">
        <w:t>.</w:t>
      </w:r>
    </w:p>
    <w:p w14:paraId="02AC6314" w14:textId="241727BB" w:rsidR="00983AE6" w:rsidRDefault="00983AE6" w:rsidP="00993767">
      <w:pPr>
        <w:spacing w:after="120"/>
      </w:pPr>
      <w:r w:rsidRPr="00FB5AD3">
        <w:t xml:space="preserve">The fee periods of the course must be sequential and together equal the duration of the course, be of equal (or approximately equal) length based on the estimated duration of the course and each contain </w:t>
      </w:r>
      <w:r w:rsidRPr="00DA16F7">
        <w:rPr>
          <w:u w:val="single"/>
        </w:rPr>
        <w:t>at least</w:t>
      </w:r>
      <w:r w:rsidRPr="00FB5AD3">
        <w:t xml:space="preserve"> one census day for the course </w:t>
      </w:r>
      <w:r w:rsidRPr="007E503C">
        <w:rPr>
          <w:rStyle w:val="ReferenceChar"/>
        </w:rPr>
        <w:t>[Rules s 123(2)]</w:t>
      </w:r>
      <w:r w:rsidRPr="007E503C">
        <w:t>.</w:t>
      </w:r>
    </w:p>
    <w:p w14:paraId="275BF798" w14:textId="44EC0717" w:rsidR="007349F2" w:rsidRDefault="007349F2" w:rsidP="00993767">
      <w:pPr>
        <w:spacing w:after="120"/>
      </w:pPr>
      <w:r w:rsidRPr="00FB5AD3">
        <w:t xml:space="preserve">This requirement ensures students incur debts as they progress through a course and not in one hit at the commencement of the course. </w:t>
      </w:r>
    </w:p>
    <w:p w14:paraId="2A61A76C" w14:textId="77777777" w:rsidR="000138A2" w:rsidRPr="00293C00" w:rsidRDefault="000138A2" w:rsidP="009B0E9E">
      <w:pPr>
        <w:pStyle w:val="Heading5"/>
      </w:pPr>
      <w:r w:rsidRPr="00293C00">
        <w:t>Length of fee periods</w:t>
      </w:r>
    </w:p>
    <w:p w14:paraId="7F6093B4" w14:textId="66F32602" w:rsidR="000138A2" w:rsidRPr="00736F23" w:rsidRDefault="000138A2" w:rsidP="000138A2">
      <w:pPr>
        <w:spacing w:after="120"/>
      </w:pPr>
      <w:r w:rsidRPr="00736F23">
        <w:t xml:space="preserve">The length of a fee-period depends on the duration of the course. Providers should structure their courses so that there is sufficient time between enrolment and the start of a course to accommodate </w:t>
      </w:r>
      <w:r>
        <w:t>the 2-business day gap for requesting a loan</w:t>
      </w:r>
      <w:r w:rsidRPr="00736F23">
        <w:t xml:space="preserve"> </w:t>
      </w:r>
      <w:r>
        <w:t xml:space="preserve">and </w:t>
      </w:r>
      <w:r w:rsidR="006F629E">
        <w:t xml:space="preserve">the time period required for </w:t>
      </w:r>
      <w:r>
        <w:t xml:space="preserve">issuing </w:t>
      </w:r>
      <w:r w:rsidR="006F629E">
        <w:t>VSL Fee Notices</w:t>
      </w:r>
      <w:r w:rsidRPr="00736F23">
        <w:t>. The department may refer information to ASQA regarding the delivery of courses that do not appear to align with expected volume of learning as published in the AQF.</w:t>
      </w:r>
    </w:p>
    <w:p w14:paraId="370F5D72" w14:textId="64E4908D" w:rsidR="000138A2" w:rsidRDefault="000138A2" w:rsidP="000138A2">
      <w:pPr>
        <w:spacing w:after="120"/>
      </w:pPr>
      <w:r w:rsidRPr="00736F23">
        <w:t>There is no requirement to publish fee-periods</w:t>
      </w:r>
      <w:r>
        <w:t>, however there must be a minimum of one census day in each fee period and they must be reasonably sequential and proportionate.</w:t>
      </w:r>
      <w:r w:rsidR="007349F2">
        <w:t xml:space="preserve"> Refer </w:t>
      </w:r>
      <w:r w:rsidR="00B37157">
        <w:t xml:space="preserve">to the Example </w:t>
      </w:r>
      <w:r w:rsidR="007349F2">
        <w:t>Fee Period diagram below.</w:t>
      </w:r>
    </w:p>
    <w:p w14:paraId="4FA84D7F" w14:textId="77777777" w:rsidR="00983AE6" w:rsidRPr="00FB5AD3" w:rsidRDefault="00983AE6" w:rsidP="00993767">
      <w:pPr>
        <w:spacing w:after="120"/>
        <w:rPr>
          <w:spacing w:val="-1"/>
        </w:rPr>
      </w:pPr>
      <w:r w:rsidRPr="00FB5AD3">
        <w:t>The length of fee periods that are yet to start may be changed proportionally to the change in time for the overall duration of the course. However</w:t>
      </w:r>
      <w:r>
        <w:t>,</w:t>
      </w:r>
      <w:r w:rsidRPr="00FB5AD3">
        <w:t xml:space="preserve"> the changed fee periods must be of equal, or approximately equal length. For example if a student switches from full time to part time study the length of their course – and consequently of their fee periods – may increase </w:t>
      </w:r>
      <w:r w:rsidRPr="007E503C">
        <w:rPr>
          <w:rStyle w:val="ReferenceChar"/>
        </w:rPr>
        <w:t>[Rules s 123(3)]</w:t>
      </w:r>
      <w:r w:rsidRPr="003811F5">
        <w:rPr>
          <w:spacing w:val="-1"/>
        </w:rPr>
        <w:t xml:space="preserve">. </w:t>
      </w:r>
    </w:p>
    <w:p w14:paraId="06B1DF07" w14:textId="2F8A6E21" w:rsidR="00983AE6" w:rsidRDefault="00983AE6" w:rsidP="00993767">
      <w:pPr>
        <w:spacing w:after="120"/>
        <w:rPr>
          <w:spacing w:val="-1"/>
        </w:rPr>
      </w:pPr>
      <w:r w:rsidRPr="00FB5AD3">
        <w:rPr>
          <w:spacing w:val="-1"/>
        </w:rPr>
        <w:t xml:space="preserve">It will also allow students to indicate to the department their progression and engagement throughout their course in order to continue to access the loan. </w:t>
      </w:r>
      <w:r>
        <w:rPr>
          <w:spacing w:val="-1"/>
        </w:rPr>
        <w:t>See section ‘</w:t>
      </w:r>
      <w:hyperlink w:anchor="_Fixed_progression_points" w:history="1">
        <w:r w:rsidRPr="007E503C">
          <w:rPr>
            <w:rStyle w:val="Hyperlink"/>
          </w:rPr>
          <w:t>Fixed progression points</w:t>
        </w:r>
      </w:hyperlink>
      <w:r>
        <w:rPr>
          <w:spacing w:val="-1"/>
        </w:rPr>
        <w:t xml:space="preserve">’. </w:t>
      </w:r>
    </w:p>
    <w:p w14:paraId="31E31EB4" w14:textId="2DE24867" w:rsidR="007349F2" w:rsidRPr="00015596" w:rsidRDefault="007349F2" w:rsidP="00A5748D">
      <w:pPr>
        <w:pStyle w:val="Heading5"/>
      </w:pPr>
      <w:bookmarkStart w:id="2630" w:name="_Fee_periods_may"/>
      <w:bookmarkStart w:id="2631" w:name="_Example_Fee_Period"/>
      <w:bookmarkEnd w:id="2630"/>
      <w:bookmarkEnd w:id="2631"/>
      <w:r w:rsidRPr="00015596">
        <w:t>Example Fee Period diagram</w:t>
      </w:r>
    </w:p>
    <w:p w14:paraId="711DA5BF" w14:textId="684EA13D" w:rsidR="007349F2" w:rsidRPr="00DA16F7" w:rsidRDefault="00CC2D69" w:rsidP="007349F2">
      <w:pPr>
        <w:spacing w:after="120"/>
        <w:ind w:left="-142"/>
        <w:rPr>
          <w:b/>
          <w:color w:val="808080" w:themeColor="background1" w:themeShade="80"/>
          <w:spacing w:val="-1"/>
        </w:rPr>
      </w:pPr>
      <w:r>
        <w:rPr>
          <w:noProof/>
          <w:lang w:eastAsia="en-AU"/>
        </w:rPr>
        <w:drawing>
          <wp:inline distT="0" distB="0" distL="0" distR="0" wp14:anchorId="719B82FD" wp14:editId="471D79FE">
            <wp:extent cx="5835650" cy="24942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835650" cy="2494280"/>
                    </a:xfrm>
                    <a:prstGeom prst="rect">
                      <a:avLst/>
                    </a:prstGeom>
                  </pic:spPr>
                </pic:pic>
              </a:graphicData>
            </a:graphic>
          </wp:inline>
        </w:drawing>
      </w:r>
    </w:p>
    <w:p w14:paraId="0E31FF03" w14:textId="77777777" w:rsidR="00983AE6" w:rsidRPr="00293C00" w:rsidRDefault="00983AE6" w:rsidP="009B0E9E">
      <w:pPr>
        <w:pStyle w:val="Heading5"/>
      </w:pPr>
      <w:bookmarkStart w:id="2632" w:name="_Charging_tuition_fees"/>
      <w:bookmarkStart w:id="2633" w:name="_Toc481505258"/>
      <w:bookmarkStart w:id="2634" w:name="_Toc483209574"/>
      <w:bookmarkStart w:id="2635" w:name="_Toc483222903"/>
      <w:bookmarkEnd w:id="2632"/>
      <w:r w:rsidRPr="00293C00">
        <w:t>Charging tuition fees over periods for a course</w:t>
      </w:r>
      <w:bookmarkEnd w:id="2633"/>
      <w:bookmarkEnd w:id="2634"/>
      <w:bookmarkEnd w:id="2635"/>
    </w:p>
    <w:p w14:paraId="2F10D57B" w14:textId="3E2F7BFF" w:rsidR="00983AE6" w:rsidRPr="00736F23" w:rsidRDefault="00983AE6" w:rsidP="00993767">
      <w:pPr>
        <w:spacing w:after="120"/>
      </w:pPr>
      <w:r w:rsidRPr="00736F23">
        <w:t>An approved</w:t>
      </w:r>
      <w:r>
        <w:t xml:space="preserve"> course</w:t>
      </w:r>
      <w:r w:rsidRPr="00736F23">
        <w:t xml:space="preserve"> provider that is not a </w:t>
      </w:r>
      <w:r>
        <w:t>Table A provider (that is</w:t>
      </w:r>
      <w:r w:rsidR="00E92C3E">
        <w:t>, not</w:t>
      </w:r>
      <w:r>
        <w:t xml:space="preserve"> a </w:t>
      </w:r>
      <w:r w:rsidRPr="00736F23">
        <w:t>public university</w:t>
      </w:r>
      <w:r>
        <w:t>)</w:t>
      </w:r>
      <w:r w:rsidRPr="00736F23">
        <w:t xml:space="preserve"> </w:t>
      </w:r>
      <w:r>
        <w:t>must only</w:t>
      </w:r>
      <w:r w:rsidRPr="00736F23">
        <w:t xml:space="preserve"> charge tuition fees for an approved course </w:t>
      </w:r>
      <w:r>
        <w:t>as follows</w:t>
      </w:r>
      <w:r w:rsidRPr="00736F23">
        <w:t>:</w:t>
      </w:r>
    </w:p>
    <w:p w14:paraId="33DA9CC9" w14:textId="77777777" w:rsidR="00983AE6" w:rsidRPr="00736F23" w:rsidRDefault="00983AE6" w:rsidP="00A0727A">
      <w:pPr>
        <w:pStyle w:val="ListBullet"/>
        <w:numPr>
          <w:ilvl w:val="0"/>
          <w:numId w:val="74"/>
        </w:numPr>
      </w:pPr>
      <w:r w:rsidRPr="00736F23">
        <w:t xml:space="preserve">the fees to be covered by </w:t>
      </w:r>
      <w:r w:rsidR="00454ED5">
        <w:t>VET Student Loans</w:t>
      </w:r>
      <w:r w:rsidRPr="00736F23">
        <w:t>, and any other tuition fees, are to be reasonably apportioned over:</w:t>
      </w:r>
    </w:p>
    <w:p w14:paraId="64BDA156" w14:textId="77777777" w:rsidR="00983AE6" w:rsidRPr="00736F23" w:rsidRDefault="00983AE6" w:rsidP="00A0727A">
      <w:pPr>
        <w:pStyle w:val="ListBullet"/>
        <w:numPr>
          <w:ilvl w:val="1"/>
          <w:numId w:val="42"/>
        </w:numPr>
      </w:pPr>
      <w:r w:rsidRPr="00736F23">
        <w:t xml:space="preserve">the fee </w:t>
      </w:r>
      <w:r w:rsidRPr="009325D4">
        <w:rPr>
          <w:rFonts w:cstheme="minorHAnsi"/>
        </w:rPr>
        <w:t>periods</w:t>
      </w:r>
      <w:r w:rsidRPr="00736F23">
        <w:t xml:space="preserve"> for the course</w:t>
      </w:r>
      <w:r>
        <w:t>,</w:t>
      </w:r>
      <w:r w:rsidRPr="00736F23">
        <w:t xml:space="preserve"> and</w:t>
      </w:r>
    </w:p>
    <w:p w14:paraId="68CFE3EF" w14:textId="21DC22E8" w:rsidR="00E92C3E" w:rsidRPr="00736F23" w:rsidRDefault="00983AE6" w:rsidP="00A0727A">
      <w:pPr>
        <w:pStyle w:val="ListBullet"/>
        <w:numPr>
          <w:ilvl w:val="1"/>
          <w:numId w:val="42"/>
        </w:numPr>
      </w:pPr>
      <w:r w:rsidRPr="00736F23">
        <w:lastRenderedPageBreak/>
        <w:t xml:space="preserve">the </w:t>
      </w:r>
      <w:r w:rsidRPr="009325D4">
        <w:rPr>
          <w:rFonts w:cstheme="minorHAnsi"/>
        </w:rPr>
        <w:t>parts</w:t>
      </w:r>
      <w:r w:rsidRPr="00736F23">
        <w:t xml:space="preserve"> of the course included in the fee periods</w:t>
      </w:r>
      <w:r>
        <w:t>,</w:t>
      </w:r>
      <w:r w:rsidRPr="00736F23">
        <w:t xml:space="preserve"> and</w:t>
      </w:r>
    </w:p>
    <w:p w14:paraId="7EA7F8BE" w14:textId="5D13B181" w:rsidR="00C22544" w:rsidRPr="00E92C3E" w:rsidRDefault="00983AE6" w:rsidP="00A0727A">
      <w:pPr>
        <w:pStyle w:val="ListBullet2"/>
        <w:numPr>
          <w:ilvl w:val="0"/>
          <w:numId w:val="43"/>
        </w:numPr>
        <w:rPr>
          <w:i/>
        </w:rPr>
      </w:pPr>
      <w:r w:rsidRPr="00C66D1B">
        <w:t xml:space="preserve">none of the tuition fees for the course are to be payable outside a fee period for the course </w:t>
      </w:r>
      <w:r w:rsidR="00C66D1B">
        <w:rPr>
          <w:rStyle w:val="ReferenceChar"/>
        </w:rPr>
        <w:t>[Rules  </w:t>
      </w:r>
      <w:r w:rsidR="009325D4">
        <w:rPr>
          <w:rStyle w:val="ReferenceChar"/>
        </w:rPr>
        <w:t>s </w:t>
      </w:r>
      <w:r w:rsidRPr="007E503C">
        <w:rPr>
          <w:rStyle w:val="ReferenceChar"/>
        </w:rPr>
        <w:t>122]</w:t>
      </w:r>
      <w:r w:rsidRPr="00736F23">
        <w:t>.</w:t>
      </w:r>
    </w:p>
    <w:p w14:paraId="0CFE9A5F" w14:textId="5D0061F8" w:rsidR="00983AE6" w:rsidRPr="001A4F3E" w:rsidRDefault="00983AE6" w:rsidP="00572874">
      <w:pPr>
        <w:spacing w:after="0"/>
        <w:rPr>
          <w:b/>
        </w:rPr>
      </w:pPr>
      <w:r w:rsidRPr="001A4F3E">
        <w:rPr>
          <w:b/>
        </w:rPr>
        <w:t xml:space="preserve">Example </w:t>
      </w:r>
    </w:p>
    <w:tbl>
      <w:tblPr>
        <w:tblStyle w:val="TableGrid"/>
        <w:tblW w:w="924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Example of fee periods"/>
        <w:tblDescription w:val="example of fee periods"/>
      </w:tblPr>
      <w:tblGrid>
        <w:gridCol w:w="1295"/>
        <w:gridCol w:w="1091"/>
        <w:gridCol w:w="2216"/>
        <w:gridCol w:w="2009"/>
        <w:gridCol w:w="1542"/>
        <w:gridCol w:w="1089"/>
      </w:tblGrid>
      <w:tr w:rsidR="00A60C85" w14:paraId="08CA2846" w14:textId="77777777" w:rsidTr="008205CD">
        <w:trPr>
          <w:trHeight w:val="340"/>
          <w:jc w:val="center"/>
        </w:trPr>
        <w:tc>
          <w:tcPr>
            <w:tcW w:w="6611" w:type="dxa"/>
            <w:gridSpan w:val="4"/>
            <w:shd w:val="clear" w:color="auto" w:fill="24206B"/>
          </w:tcPr>
          <w:p w14:paraId="1E74E00B" w14:textId="77777777" w:rsidR="00A60C85" w:rsidRPr="00560060" w:rsidRDefault="00A60C85" w:rsidP="005455F8">
            <w:pPr>
              <w:pStyle w:val="Tableheading"/>
              <w:rPr>
                <w:rFonts w:ascii="Arial" w:hAnsi="Arial" w:cs="Arial"/>
                <w:sz w:val="20"/>
                <w:szCs w:val="20"/>
              </w:rPr>
            </w:pPr>
            <w:r w:rsidRPr="00560060">
              <w:rPr>
                <w:rFonts w:ascii="Arial" w:hAnsi="Arial" w:cs="Arial"/>
                <w:sz w:val="20"/>
                <w:szCs w:val="20"/>
              </w:rPr>
              <w:t>Distribution of fees</w:t>
            </w:r>
          </w:p>
        </w:tc>
        <w:tc>
          <w:tcPr>
            <w:tcW w:w="1542" w:type="dxa"/>
            <w:shd w:val="clear" w:color="auto" w:fill="24206B"/>
          </w:tcPr>
          <w:p w14:paraId="04C3BBF3" w14:textId="77777777" w:rsidR="00A60C85" w:rsidRPr="00560060" w:rsidRDefault="00A60C85" w:rsidP="005455F8">
            <w:pPr>
              <w:tabs>
                <w:tab w:val="left" w:pos="2475"/>
              </w:tabs>
              <w:jc w:val="center"/>
              <w:rPr>
                <w:rFonts w:ascii="Arial" w:hAnsi="Arial" w:cs="Arial"/>
                <w:b/>
                <w:color w:val="FFFFFF" w:themeColor="background1"/>
                <w:sz w:val="20"/>
                <w:szCs w:val="20"/>
              </w:rPr>
            </w:pPr>
          </w:p>
        </w:tc>
        <w:tc>
          <w:tcPr>
            <w:tcW w:w="1089" w:type="dxa"/>
            <w:shd w:val="clear" w:color="auto" w:fill="24206B"/>
          </w:tcPr>
          <w:p w14:paraId="640E045C" w14:textId="77777777" w:rsidR="00A60C85" w:rsidRPr="00560060" w:rsidRDefault="00A60C85" w:rsidP="005455F8">
            <w:pPr>
              <w:tabs>
                <w:tab w:val="left" w:pos="2475"/>
              </w:tabs>
              <w:jc w:val="center"/>
              <w:rPr>
                <w:rFonts w:ascii="Arial" w:hAnsi="Arial" w:cs="Arial"/>
                <w:b/>
                <w:color w:val="FFFFFF" w:themeColor="background1"/>
                <w:sz w:val="20"/>
                <w:szCs w:val="20"/>
              </w:rPr>
            </w:pPr>
          </w:p>
        </w:tc>
      </w:tr>
      <w:tr w:rsidR="00A60C85" w14:paraId="4F2C3A29" w14:textId="77777777" w:rsidTr="008205CD">
        <w:trPr>
          <w:trHeight w:val="340"/>
          <w:jc w:val="center"/>
        </w:trPr>
        <w:tc>
          <w:tcPr>
            <w:tcW w:w="6611" w:type="dxa"/>
            <w:gridSpan w:val="4"/>
            <w:shd w:val="clear" w:color="auto" w:fill="00ADEF"/>
          </w:tcPr>
          <w:p w14:paraId="4E77B9A7" w14:textId="77777777" w:rsidR="00A60C85" w:rsidRPr="00560060" w:rsidRDefault="00A60C85" w:rsidP="005455F8">
            <w:pPr>
              <w:pStyle w:val="Tableheading"/>
              <w:rPr>
                <w:rFonts w:ascii="Arial" w:hAnsi="Arial" w:cs="Arial"/>
                <w:sz w:val="20"/>
                <w:szCs w:val="20"/>
              </w:rPr>
            </w:pPr>
            <w:r w:rsidRPr="00560060">
              <w:rPr>
                <w:rFonts w:ascii="Arial" w:hAnsi="Arial" w:cs="Arial"/>
                <w:color w:val="FFFFFF" w:themeColor="background1"/>
                <w:sz w:val="20"/>
                <w:szCs w:val="20"/>
              </w:rPr>
              <w:t>Total course cost $15,900             Course loan cap $15,000</w:t>
            </w:r>
          </w:p>
        </w:tc>
        <w:tc>
          <w:tcPr>
            <w:tcW w:w="1542" w:type="dxa"/>
            <w:shd w:val="clear" w:color="auto" w:fill="00ADEF"/>
          </w:tcPr>
          <w:p w14:paraId="621A2CA8" w14:textId="77777777" w:rsidR="00A60C85" w:rsidRPr="00560060" w:rsidRDefault="00A60C85" w:rsidP="005455F8">
            <w:pPr>
              <w:tabs>
                <w:tab w:val="left" w:pos="2475"/>
              </w:tabs>
              <w:jc w:val="center"/>
              <w:rPr>
                <w:rFonts w:ascii="Arial" w:hAnsi="Arial" w:cs="Arial"/>
                <w:b/>
                <w:color w:val="FFFFFF" w:themeColor="background1"/>
                <w:sz w:val="20"/>
                <w:szCs w:val="20"/>
              </w:rPr>
            </w:pPr>
          </w:p>
        </w:tc>
        <w:tc>
          <w:tcPr>
            <w:tcW w:w="1089" w:type="dxa"/>
            <w:shd w:val="clear" w:color="auto" w:fill="00ADEF"/>
          </w:tcPr>
          <w:p w14:paraId="213025F0" w14:textId="72BB5D07" w:rsidR="00A60C85" w:rsidRPr="00560060" w:rsidRDefault="00A60C85">
            <w:pPr>
              <w:tabs>
                <w:tab w:val="left" w:pos="2475"/>
              </w:tabs>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HEIMS </w:t>
            </w:r>
            <w:r w:rsidR="004317C0">
              <w:rPr>
                <w:rFonts w:ascii="Arial" w:hAnsi="Arial" w:cs="Arial"/>
                <w:b/>
                <w:color w:val="FFFFFF" w:themeColor="background1"/>
                <w:sz w:val="20"/>
                <w:szCs w:val="20"/>
              </w:rPr>
              <w:t>code</w:t>
            </w:r>
          </w:p>
        </w:tc>
      </w:tr>
      <w:tr w:rsidR="0054791C" w14:paraId="1FA2C850" w14:textId="77777777" w:rsidTr="00F84E92">
        <w:trPr>
          <w:trHeight w:val="340"/>
          <w:jc w:val="center"/>
        </w:trPr>
        <w:tc>
          <w:tcPr>
            <w:tcW w:w="2386" w:type="dxa"/>
            <w:gridSpan w:val="2"/>
            <w:shd w:val="clear" w:color="auto" w:fill="F2F2F2" w:themeFill="background1" w:themeFillShade="F2"/>
            <w:vAlign w:val="center"/>
          </w:tcPr>
          <w:p w14:paraId="6EC005CB" w14:textId="77777777" w:rsidR="0054791C" w:rsidRPr="00560060" w:rsidRDefault="0054791C" w:rsidP="005455F8">
            <w:pPr>
              <w:tabs>
                <w:tab w:val="left" w:pos="2475"/>
              </w:tabs>
              <w:jc w:val="center"/>
              <w:rPr>
                <w:rFonts w:ascii="Arial" w:hAnsi="Arial" w:cs="Arial"/>
                <w:sz w:val="20"/>
                <w:szCs w:val="20"/>
              </w:rPr>
            </w:pPr>
            <w:r w:rsidRPr="00560060">
              <w:rPr>
                <w:rFonts w:ascii="Arial" w:hAnsi="Arial" w:cs="Arial"/>
                <w:sz w:val="20"/>
                <w:szCs w:val="20"/>
              </w:rPr>
              <w:t>1</w:t>
            </w:r>
            <w:r w:rsidRPr="00560060">
              <w:rPr>
                <w:rFonts w:ascii="Arial" w:hAnsi="Arial" w:cs="Arial"/>
                <w:sz w:val="20"/>
                <w:szCs w:val="20"/>
                <w:vertAlign w:val="superscript"/>
              </w:rPr>
              <w:t>st</w:t>
            </w:r>
            <w:r w:rsidRPr="00560060">
              <w:rPr>
                <w:rFonts w:ascii="Arial" w:hAnsi="Arial" w:cs="Arial"/>
                <w:sz w:val="20"/>
                <w:szCs w:val="20"/>
              </w:rPr>
              <w:t xml:space="preserve"> Fee period</w:t>
            </w:r>
          </w:p>
        </w:tc>
        <w:tc>
          <w:tcPr>
            <w:tcW w:w="2216" w:type="dxa"/>
            <w:shd w:val="clear" w:color="auto" w:fill="F2F2F2" w:themeFill="background1" w:themeFillShade="F2"/>
            <w:vAlign w:val="center"/>
          </w:tcPr>
          <w:p w14:paraId="57AB20D9" w14:textId="77777777" w:rsidR="0054791C" w:rsidRPr="00560060" w:rsidRDefault="0054791C" w:rsidP="005455F8">
            <w:pPr>
              <w:tabs>
                <w:tab w:val="left" w:pos="2475"/>
              </w:tabs>
              <w:jc w:val="center"/>
              <w:rPr>
                <w:rFonts w:ascii="Arial" w:hAnsi="Arial" w:cs="Arial"/>
                <w:sz w:val="20"/>
                <w:szCs w:val="20"/>
              </w:rPr>
            </w:pPr>
            <w:r w:rsidRPr="00560060">
              <w:rPr>
                <w:rFonts w:ascii="Arial" w:hAnsi="Arial" w:cs="Arial"/>
                <w:sz w:val="20"/>
                <w:szCs w:val="20"/>
              </w:rPr>
              <w:t>2</w:t>
            </w:r>
            <w:r w:rsidRPr="00560060">
              <w:rPr>
                <w:rFonts w:ascii="Arial" w:hAnsi="Arial" w:cs="Arial"/>
                <w:sz w:val="20"/>
                <w:szCs w:val="20"/>
                <w:vertAlign w:val="superscript"/>
              </w:rPr>
              <w:t>nd</w:t>
            </w:r>
            <w:r w:rsidRPr="00560060">
              <w:rPr>
                <w:rFonts w:ascii="Arial" w:hAnsi="Arial" w:cs="Arial"/>
                <w:sz w:val="20"/>
                <w:szCs w:val="20"/>
              </w:rPr>
              <w:t xml:space="preserve"> Fee period</w:t>
            </w:r>
          </w:p>
        </w:tc>
        <w:tc>
          <w:tcPr>
            <w:tcW w:w="2009" w:type="dxa"/>
            <w:shd w:val="clear" w:color="auto" w:fill="F2F2F2" w:themeFill="background1" w:themeFillShade="F2"/>
            <w:vAlign w:val="center"/>
          </w:tcPr>
          <w:p w14:paraId="5B181872" w14:textId="77777777" w:rsidR="0054791C" w:rsidRPr="00560060" w:rsidRDefault="0054791C" w:rsidP="005455F8">
            <w:pPr>
              <w:tabs>
                <w:tab w:val="left" w:pos="2475"/>
              </w:tabs>
              <w:jc w:val="center"/>
              <w:rPr>
                <w:rFonts w:ascii="Arial" w:hAnsi="Arial" w:cs="Arial"/>
                <w:sz w:val="20"/>
                <w:szCs w:val="20"/>
              </w:rPr>
            </w:pPr>
            <w:r w:rsidRPr="00560060">
              <w:rPr>
                <w:rFonts w:ascii="Arial" w:hAnsi="Arial" w:cs="Arial"/>
                <w:sz w:val="20"/>
                <w:szCs w:val="20"/>
              </w:rPr>
              <w:t>3</w:t>
            </w:r>
            <w:r w:rsidRPr="00560060">
              <w:rPr>
                <w:rFonts w:ascii="Arial" w:hAnsi="Arial" w:cs="Arial"/>
                <w:sz w:val="20"/>
                <w:szCs w:val="20"/>
                <w:vertAlign w:val="superscript"/>
              </w:rPr>
              <w:t>rd</w:t>
            </w:r>
            <w:r w:rsidRPr="00560060">
              <w:rPr>
                <w:rFonts w:ascii="Arial" w:hAnsi="Arial" w:cs="Arial"/>
                <w:sz w:val="20"/>
                <w:szCs w:val="20"/>
              </w:rPr>
              <w:t xml:space="preserve"> Fee period</w:t>
            </w:r>
          </w:p>
        </w:tc>
        <w:tc>
          <w:tcPr>
            <w:tcW w:w="2631" w:type="dxa"/>
            <w:gridSpan w:val="2"/>
            <w:shd w:val="clear" w:color="auto" w:fill="D9D9D9" w:themeFill="background1" w:themeFillShade="D9"/>
            <w:vAlign w:val="center"/>
          </w:tcPr>
          <w:p w14:paraId="466EB1AB" w14:textId="77777777" w:rsidR="0054791C" w:rsidRPr="00560060" w:rsidRDefault="0054791C" w:rsidP="005455F8">
            <w:pPr>
              <w:tabs>
                <w:tab w:val="left" w:pos="2475"/>
              </w:tabs>
              <w:jc w:val="center"/>
              <w:rPr>
                <w:rFonts w:ascii="Arial" w:hAnsi="Arial" w:cs="Arial"/>
                <w:sz w:val="20"/>
                <w:szCs w:val="20"/>
              </w:rPr>
            </w:pPr>
          </w:p>
        </w:tc>
      </w:tr>
      <w:tr w:rsidR="00A60C85" w14:paraId="11A3D90D" w14:textId="77777777" w:rsidTr="00F84E92">
        <w:trPr>
          <w:trHeight w:val="340"/>
          <w:jc w:val="center"/>
        </w:trPr>
        <w:tc>
          <w:tcPr>
            <w:tcW w:w="2386" w:type="dxa"/>
            <w:gridSpan w:val="2"/>
            <w:shd w:val="clear" w:color="auto" w:fill="F2F2F2" w:themeFill="background1" w:themeFillShade="F2"/>
            <w:vAlign w:val="center"/>
          </w:tcPr>
          <w:p w14:paraId="42EB5AB6" w14:textId="77777777" w:rsidR="00A60C85" w:rsidRPr="00560060" w:rsidRDefault="00A60C85" w:rsidP="005455F8">
            <w:pPr>
              <w:jc w:val="center"/>
              <w:rPr>
                <w:rFonts w:ascii="Arial" w:hAnsi="Arial" w:cs="Arial"/>
                <w:sz w:val="20"/>
                <w:szCs w:val="20"/>
              </w:rPr>
            </w:pPr>
            <w:r w:rsidRPr="00560060">
              <w:rPr>
                <w:rFonts w:ascii="Arial" w:hAnsi="Arial" w:cs="Arial"/>
                <w:sz w:val="20"/>
                <w:szCs w:val="20"/>
              </w:rPr>
              <w:t>1</w:t>
            </w:r>
            <w:r w:rsidRPr="00560060">
              <w:rPr>
                <w:rFonts w:ascii="Arial" w:hAnsi="Arial" w:cs="Arial"/>
                <w:sz w:val="20"/>
                <w:szCs w:val="20"/>
                <w:vertAlign w:val="superscript"/>
              </w:rPr>
              <w:t>st</w:t>
            </w:r>
            <w:r w:rsidRPr="00560060">
              <w:rPr>
                <w:rFonts w:ascii="Arial" w:hAnsi="Arial" w:cs="Arial"/>
                <w:sz w:val="20"/>
                <w:szCs w:val="20"/>
              </w:rPr>
              <w:t xml:space="preserve"> census day</w:t>
            </w:r>
          </w:p>
        </w:tc>
        <w:tc>
          <w:tcPr>
            <w:tcW w:w="2216" w:type="dxa"/>
            <w:shd w:val="clear" w:color="auto" w:fill="F2F2F2" w:themeFill="background1" w:themeFillShade="F2"/>
            <w:vAlign w:val="center"/>
          </w:tcPr>
          <w:p w14:paraId="5A03D40E" w14:textId="77777777" w:rsidR="00A60C85" w:rsidRPr="00560060" w:rsidRDefault="00A60C85" w:rsidP="005455F8">
            <w:pPr>
              <w:jc w:val="center"/>
              <w:rPr>
                <w:rFonts w:ascii="Arial" w:hAnsi="Arial" w:cs="Arial"/>
                <w:sz w:val="20"/>
                <w:szCs w:val="20"/>
              </w:rPr>
            </w:pPr>
            <w:r w:rsidRPr="00560060">
              <w:rPr>
                <w:rFonts w:ascii="Arial" w:hAnsi="Arial" w:cs="Arial"/>
                <w:sz w:val="20"/>
                <w:szCs w:val="20"/>
              </w:rPr>
              <w:t>2</w:t>
            </w:r>
            <w:r w:rsidRPr="00560060">
              <w:rPr>
                <w:rFonts w:ascii="Arial" w:hAnsi="Arial" w:cs="Arial"/>
                <w:sz w:val="20"/>
                <w:szCs w:val="20"/>
                <w:vertAlign w:val="superscript"/>
              </w:rPr>
              <w:t>nd</w:t>
            </w:r>
            <w:r w:rsidRPr="00560060">
              <w:rPr>
                <w:rFonts w:ascii="Arial" w:hAnsi="Arial" w:cs="Arial"/>
                <w:sz w:val="20"/>
                <w:szCs w:val="20"/>
              </w:rPr>
              <w:t xml:space="preserve"> census day</w:t>
            </w:r>
          </w:p>
        </w:tc>
        <w:tc>
          <w:tcPr>
            <w:tcW w:w="2009" w:type="dxa"/>
            <w:shd w:val="clear" w:color="auto" w:fill="F2F2F2" w:themeFill="background1" w:themeFillShade="F2"/>
            <w:vAlign w:val="center"/>
          </w:tcPr>
          <w:p w14:paraId="5FEAF20E" w14:textId="77777777" w:rsidR="00A60C85" w:rsidRPr="00560060" w:rsidRDefault="00A60C85" w:rsidP="005455F8">
            <w:pPr>
              <w:jc w:val="center"/>
              <w:rPr>
                <w:rFonts w:ascii="Arial" w:hAnsi="Arial" w:cs="Arial"/>
                <w:sz w:val="20"/>
                <w:szCs w:val="20"/>
              </w:rPr>
            </w:pPr>
            <w:r w:rsidRPr="00560060">
              <w:rPr>
                <w:rFonts w:ascii="Arial" w:hAnsi="Arial" w:cs="Arial"/>
                <w:sz w:val="20"/>
                <w:szCs w:val="20"/>
              </w:rPr>
              <w:t>3</w:t>
            </w:r>
            <w:r w:rsidRPr="00560060">
              <w:rPr>
                <w:rFonts w:ascii="Arial" w:hAnsi="Arial" w:cs="Arial"/>
                <w:sz w:val="20"/>
                <w:szCs w:val="20"/>
                <w:vertAlign w:val="superscript"/>
              </w:rPr>
              <w:t>rd</w:t>
            </w:r>
            <w:r w:rsidRPr="00560060">
              <w:rPr>
                <w:rFonts w:ascii="Arial" w:hAnsi="Arial" w:cs="Arial"/>
                <w:sz w:val="20"/>
                <w:szCs w:val="20"/>
              </w:rPr>
              <w:t xml:space="preserve"> census day</w:t>
            </w:r>
          </w:p>
        </w:tc>
        <w:tc>
          <w:tcPr>
            <w:tcW w:w="1542" w:type="dxa"/>
            <w:shd w:val="clear" w:color="auto" w:fill="D9D9D9" w:themeFill="background1" w:themeFillShade="D9"/>
            <w:vAlign w:val="center"/>
          </w:tcPr>
          <w:p w14:paraId="5354DC2D" w14:textId="77777777" w:rsidR="00A60C85" w:rsidRPr="0054791C" w:rsidRDefault="0054791C" w:rsidP="005455F8">
            <w:pPr>
              <w:jc w:val="center"/>
              <w:rPr>
                <w:rFonts w:ascii="Arial" w:hAnsi="Arial" w:cs="Arial"/>
                <w:b/>
                <w:sz w:val="20"/>
                <w:szCs w:val="20"/>
              </w:rPr>
            </w:pPr>
            <w:r w:rsidRPr="0054791C">
              <w:rPr>
                <w:rFonts w:ascii="Arial" w:hAnsi="Arial" w:cs="Arial"/>
                <w:b/>
                <w:sz w:val="20"/>
                <w:szCs w:val="20"/>
              </w:rPr>
              <w:t>Totals</w:t>
            </w:r>
          </w:p>
        </w:tc>
        <w:tc>
          <w:tcPr>
            <w:tcW w:w="1089" w:type="dxa"/>
            <w:shd w:val="clear" w:color="auto" w:fill="D9D9D9" w:themeFill="background1" w:themeFillShade="D9"/>
          </w:tcPr>
          <w:p w14:paraId="798F830F" w14:textId="77777777" w:rsidR="00A60C85" w:rsidRPr="00560060" w:rsidRDefault="00A60C85" w:rsidP="005455F8">
            <w:pPr>
              <w:jc w:val="center"/>
              <w:rPr>
                <w:rFonts w:ascii="Arial" w:hAnsi="Arial" w:cs="Arial"/>
                <w:sz w:val="20"/>
                <w:szCs w:val="20"/>
              </w:rPr>
            </w:pPr>
          </w:p>
        </w:tc>
      </w:tr>
      <w:tr w:rsidR="00A60C85" w14:paraId="4B28AFCC" w14:textId="77777777" w:rsidTr="008205CD">
        <w:trPr>
          <w:trHeight w:val="340"/>
          <w:jc w:val="center"/>
        </w:trPr>
        <w:tc>
          <w:tcPr>
            <w:tcW w:w="1295" w:type="dxa"/>
            <w:shd w:val="clear" w:color="auto" w:fill="D9D9D9" w:themeFill="background1" w:themeFillShade="D9"/>
            <w:vAlign w:val="center"/>
          </w:tcPr>
          <w:p w14:paraId="55CA9246" w14:textId="77777777" w:rsidR="00A60C85" w:rsidRPr="00560060" w:rsidRDefault="00A60C85" w:rsidP="005455F8">
            <w:pPr>
              <w:rPr>
                <w:rFonts w:ascii="Arial" w:hAnsi="Arial" w:cs="Arial"/>
                <w:sz w:val="20"/>
                <w:szCs w:val="20"/>
              </w:rPr>
            </w:pPr>
            <w:r w:rsidRPr="00560060">
              <w:rPr>
                <w:rFonts w:ascii="Arial" w:hAnsi="Arial" w:cs="Arial"/>
                <w:sz w:val="20"/>
                <w:szCs w:val="20"/>
              </w:rPr>
              <w:t>Loan amount</w:t>
            </w:r>
          </w:p>
        </w:tc>
        <w:tc>
          <w:tcPr>
            <w:tcW w:w="1091" w:type="dxa"/>
            <w:shd w:val="clear" w:color="auto" w:fill="D9D9D9" w:themeFill="background1" w:themeFillShade="D9"/>
            <w:vAlign w:val="center"/>
          </w:tcPr>
          <w:p w14:paraId="575A7D5E" w14:textId="77777777" w:rsidR="00A60C85" w:rsidRPr="00560060" w:rsidRDefault="00A60C85" w:rsidP="005455F8">
            <w:pPr>
              <w:jc w:val="right"/>
              <w:rPr>
                <w:rFonts w:ascii="Arial" w:hAnsi="Arial" w:cs="Arial"/>
                <w:sz w:val="20"/>
                <w:szCs w:val="20"/>
              </w:rPr>
            </w:pPr>
            <w:r w:rsidRPr="00560060">
              <w:rPr>
                <w:rFonts w:ascii="Arial" w:hAnsi="Arial" w:cs="Arial"/>
                <w:sz w:val="20"/>
                <w:szCs w:val="20"/>
              </w:rPr>
              <w:t>$5,000</w:t>
            </w:r>
          </w:p>
        </w:tc>
        <w:tc>
          <w:tcPr>
            <w:tcW w:w="2216" w:type="dxa"/>
            <w:shd w:val="clear" w:color="auto" w:fill="D9D9D9" w:themeFill="background1" w:themeFillShade="D9"/>
            <w:vAlign w:val="center"/>
          </w:tcPr>
          <w:p w14:paraId="4588553E" w14:textId="77777777" w:rsidR="00A60C85" w:rsidRPr="00560060" w:rsidRDefault="00A60C85" w:rsidP="005455F8">
            <w:pPr>
              <w:ind w:left="585" w:right="475"/>
              <w:jc w:val="right"/>
              <w:rPr>
                <w:rFonts w:ascii="Arial" w:hAnsi="Arial" w:cs="Arial"/>
                <w:sz w:val="20"/>
                <w:szCs w:val="20"/>
              </w:rPr>
            </w:pPr>
            <w:r w:rsidRPr="00560060">
              <w:rPr>
                <w:rFonts w:ascii="Arial" w:hAnsi="Arial" w:cs="Arial"/>
                <w:sz w:val="20"/>
                <w:szCs w:val="20"/>
              </w:rPr>
              <w:t>$5,000</w:t>
            </w:r>
          </w:p>
        </w:tc>
        <w:tc>
          <w:tcPr>
            <w:tcW w:w="2009" w:type="dxa"/>
            <w:shd w:val="clear" w:color="auto" w:fill="D9D9D9" w:themeFill="background1" w:themeFillShade="D9"/>
            <w:vAlign w:val="center"/>
          </w:tcPr>
          <w:p w14:paraId="1A3AFA0D" w14:textId="77777777" w:rsidR="00A60C85" w:rsidRPr="00560060" w:rsidRDefault="00A60C85" w:rsidP="005455F8">
            <w:pPr>
              <w:ind w:left="443" w:right="333"/>
              <w:jc w:val="right"/>
              <w:rPr>
                <w:rFonts w:ascii="Arial" w:hAnsi="Arial" w:cs="Arial"/>
                <w:sz w:val="20"/>
                <w:szCs w:val="20"/>
              </w:rPr>
            </w:pPr>
            <w:r w:rsidRPr="00560060">
              <w:rPr>
                <w:rFonts w:ascii="Arial" w:hAnsi="Arial" w:cs="Arial"/>
                <w:sz w:val="20"/>
                <w:szCs w:val="20"/>
              </w:rPr>
              <w:t>$5,000</w:t>
            </w:r>
          </w:p>
        </w:tc>
        <w:tc>
          <w:tcPr>
            <w:tcW w:w="1542" w:type="dxa"/>
            <w:shd w:val="clear" w:color="auto" w:fill="D9D9D9" w:themeFill="background1" w:themeFillShade="D9"/>
            <w:vAlign w:val="center"/>
          </w:tcPr>
          <w:p w14:paraId="639785FC" w14:textId="77777777" w:rsidR="00A60C85" w:rsidRPr="002507EE" w:rsidRDefault="00A60C85" w:rsidP="005455F8">
            <w:pPr>
              <w:ind w:left="443"/>
              <w:jc w:val="right"/>
              <w:rPr>
                <w:rFonts w:ascii="Arial" w:hAnsi="Arial" w:cs="Arial"/>
                <w:b/>
                <w:sz w:val="20"/>
                <w:szCs w:val="20"/>
              </w:rPr>
            </w:pPr>
            <w:r w:rsidRPr="002507EE">
              <w:rPr>
                <w:rFonts w:ascii="Arial" w:hAnsi="Arial" w:cs="Arial"/>
                <w:b/>
                <w:sz w:val="20"/>
                <w:szCs w:val="20"/>
              </w:rPr>
              <w:t>$15,000</w:t>
            </w:r>
          </w:p>
        </w:tc>
        <w:tc>
          <w:tcPr>
            <w:tcW w:w="1089" w:type="dxa"/>
            <w:shd w:val="clear" w:color="auto" w:fill="D9D9D9" w:themeFill="background1" w:themeFillShade="D9"/>
          </w:tcPr>
          <w:p w14:paraId="46FBF667" w14:textId="77777777" w:rsidR="00A60C85" w:rsidRPr="00560060" w:rsidRDefault="00A60C85" w:rsidP="005455F8">
            <w:pPr>
              <w:ind w:left="443"/>
              <w:jc w:val="right"/>
              <w:rPr>
                <w:rFonts w:ascii="Arial" w:hAnsi="Arial" w:cs="Arial"/>
                <w:sz w:val="20"/>
                <w:szCs w:val="20"/>
              </w:rPr>
            </w:pPr>
            <w:r>
              <w:rPr>
                <w:rFonts w:ascii="Arial" w:hAnsi="Arial" w:cs="Arial"/>
                <w:sz w:val="20"/>
                <w:szCs w:val="20"/>
              </w:rPr>
              <w:t>558</w:t>
            </w:r>
          </w:p>
        </w:tc>
      </w:tr>
      <w:tr w:rsidR="00A60C85" w14:paraId="130BF035" w14:textId="77777777" w:rsidTr="008205CD">
        <w:trPr>
          <w:trHeight w:val="340"/>
          <w:jc w:val="center"/>
        </w:trPr>
        <w:tc>
          <w:tcPr>
            <w:tcW w:w="1295" w:type="dxa"/>
            <w:shd w:val="clear" w:color="auto" w:fill="D9D9D9" w:themeFill="background1" w:themeFillShade="D9"/>
            <w:vAlign w:val="center"/>
          </w:tcPr>
          <w:p w14:paraId="72ED11E7" w14:textId="77777777" w:rsidR="00A60C85" w:rsidRPr="00560060" w:rsidRDefault="00A60C85" w:rsidP="005455F8">
            <w:pPr>
              <w:rPr>
                <w:rFonts w:ascii="Arial" w:hAnsi="Arial" w:cs="Arial"/>
                <w:sz w:val="20"/>
                <w:szCs w:val="20"/>
              </w:rPr>
            </w:pPr>
            <w:r w:rsidRPr="00560060">
              <w:rPr>
                <w:rFonts w:ascii="Arial" w:hAnsi="Arial" w:cs="Arial"/>
                <w:sz w:val="20"/>
                <w:szCs w:val="20"/>
              </w:rPr>
              <w:t>Gap fee</w:t>
            </w:r>
          </w:p>
        </w:tc>
        <w:tc>
          <w:tcPr>
            <w:tcW w:w="1091" w:type="dxa"/>
            <w:shd w:val="clear" w:color="auto" w:fill="D9D9D9" w:themeFill="background1" w:themeFillShade="D9"/>
            <w:vAlign w:val="center"/>
          </w:tcPr>
          <w:p w14:paraId="0BD4C13C" w14:textId="77777777" w:rsidR="00A60C85" w:rsidRPr="00560060" w:rsidRDefault="00A60C85" w:rsidP="005455F8">
            <w:pPr>
              <w:jc w:val="right"/>
              <w:rPr>
                <w:rFonts w:ascii="Arial" w:hAnsi="Arial" w:cs="Arial"/>
                <w:sz w:val="20"/>
                <w:szCs w:val="20"/>
              </w:rPr>
            </w:pPr>
            <w:r w:rsidRPr="00560060">
              <w:rPr>
                <w:rFonts w:ascii="Arial" w:hAnsi="Arial" w:cs="Arial"/>
                <w:sz w:val="20"/>
                <w:szCs w:val="20"/>
              </w:rPr>
              <w:t>$300</w:t>
            </w:r>
          </w:p>
        </w:tc>
        <w:tc>
          <w:tcPr>
            <w:tcW w:w="2216" w:type="dxa"/>
            <w:shd w:val="clear" w:color="auto" w:fill="D9D9D9" w:themeFill="background1" w:themeFillShade="D9"/>
            <w:vAlign w:val="center"/>
          </w:tcPr>
          <w:p w14:paraId="7C05C713" w14:textId="77777777" w:rsidR="00A60C85" w:rsidRPr="00560060" w:rsidRDefault="00A60C85" w:rsidP="005455F8">
            <w:pPr>
              <w:ind w:left="585" w:right="475"/>
              <w:jc w:val="right"/>
              <w:rPr>
                <w:rFonts w:ascii="Arial" w:hAnsi="Arial" w:cs="Arial"/>
                <w:sz w:val="20"/>
                <w:szCs w:val="20"/>
              </w:rPr>
            </w:pPr>
            <w:r w:rsidRPr="00560060">
              <w:rPr>
                <w:rFonts w:ascii="Arial" w:hAnsi="Arial" w:cs="Arial"/>
                <w:sz w:val="20"/>
                <w:szCs w:val="20"/>
              </w:rPr>
              <w:t>$300</w:t>
            </w:r>
          </w:p>
        </w:tc>
        <w:tc>
          <w:tcPr>
            <w:tcW w:w="2009" w:type="dxa"/>
            <w:shd w:val="clear" w:color="auto" w:fill="D9D9D9" w:themeFill="background1" w:themeFillShade="D9"/>
            <w:vAlign w:val="center"/>
          </w:tcPr>
          <w:p w14:paraId="04B33185" w14:textId="77777777" w:rsidR="00A60C85" w:rsidRPr="00560060" w:rsidRDefault="00A60C85" w:rsidP="005455F8">
            <w:pPr>
              <w:ind w:left="443" w:right="333"/>
              <w:jc w:val="right"/>
              <w:rPr>
                <w:rFonts w:ascii="Arial" w:hAnsi="Arial" w:cs="Arial"/>
                <w:sz w:val="20"/>
                <w:szCs w:val="20"/>
              </w:rPr>
            </w:pPr>
            <w:r w:rsidRPr="00560060">
              <w:rPr>
                <w:rFonts w:ascii="Arial" w:hAnsi="Arial" w:cs="Arial"/>
                <w:sz w:val="20"/>
                <w:szCs w:val="20"/>
              </w:rPr>
              <w:t>$300</w:t>
            </w:r>
          </w:p>
        </w:tc>
        <w:tc>
          <w:tcPr>
            <w:tcW w:w="1542" w:type="dxa"/>
            <w:shd w:val="clear" w:color="auto" w:fill="D9D9D9" w:themeFill="background1" w:themeFillShade="D9"/>
            <w:vAlign w:val="center"/>
          </w:tcPr>
          <w:p w14:paraId="697F7A7B" w14:textId="77777777" w:rsidR="00A60C85" w:rsidRPr="002507EE" w:rsidRDefault="00A60C85" w:rsidP="005455F8">
            <w:pPr>
              <w:ind w:left="443"/>
              <w:jc w:val="right"/>
              <w:rPr>
                <w:rFonts w:ascii="Arial" w:hAnsi="Arial" w:cs="Arial"/>
                <w:b/>
                <w:sz w:val="20"/>
                <w:szCs w:val="20"/>
              </w:rPr>
            </w:pPr>
            <w:r w:rsidRPr="002507EE">
              <w:rPr>
                <w:rFonts w:ascii="Arial" w:hAnsi="Arial" w:cs="Arial"/>
                <w:b/>
                <w:sz w:val="20"/>
                <w:szCs w:val="20"/>
              </w:rPr>
              <w:t>$900</w:t>
            </w:r>
          </w:p>
        </w:tc>
        <w:tc>
          <w:tcPr>
            <w:tcW w:w="1089" w:type="dxa"/>
            <w:shd w:val="clear" w:color="auto" w:fill="D9D9D9" w:themeFill="background1" w:themeFillShade="D9"/>
          </w:tcPr>
          <w:p w14:paraId="5A8A9F3E" w14:textId="13F1974E" w:rsidR="00A60C85" w:rsidRPr="00560060" w:rsidRDefault="00195ABC" w:rsidP="005455F8">
            <w:pPr>
              <w:ind w:left="443"/>
              <w:jc w:val="right"/>
              <w:rPr>
                <w:rFonts w:ascii="Arial" w:hAnsi="Arial" w:cs="Arial"/>
                <w:sz w:val="20"/>
                <w:szCs w:val="20"/>
              </w:rPr>
            </w:pPr>
            <w:r>
              <w:rPr>
                <w:rFonts w:ascii="Arial" w:hAnsi="Arial" w:cs="Arial"/>
                <w:sz w:val="20"/>
                <w:szCs w:val="20"/>
              </w:rPr>
              <w:t>381</w:t>
            </w:r>
          </w:p>
        </w:tc>
      </w:tr>
      <w:tr w:rsidR="00A60C85" w14:paraId="43099009" w14:textId="77777777" w:rsidTr="008205CD">
        <w:trPr>
          <w:trHeight w:val="340"/>
          <w:jc w:val="center"/>
        </w:trPr>
        <w:tc>
          <w:tcPr>
            <w:tcW w:w="1295" w:type="dxa"/>
            <w:shd w:val="clear" w:color="auto" w:fill="D9D9D9" w:themeFill="background1" w:themeFillShade="D9"/>
            <w:vAlign w:val="center"/>
          </w:tcPr>
          <w:p w14:paraId="4C0ADD32" w14:textId="77777777" w:rsidR="00A60C85" w:rsidRPr="00560060" w:rsidRDefault="00A60C85" w:rsidP="005455F8">
            <w:pPr>
              <w:rPr>
                <w:rFonts w:ascii="Arial" w:hAnsi="Arial" w:cs="Arial"/>
                <w:b/>
                <w:sz w:val="20"/>
                <w:szCs w:val="20"/>
              </w:rPr>
            </w:pPr>
            <w:r w:rsidRPr="00560060">
              <w:rPr>
                <w:rFonts w:ascii="Arial" w:hAnsi="Arial" w:cs="Arial"/>
                <w:b/>
                <w:sz w:val="20"/>
                <w:szCs w:val="20"/>
              </w:rPr>
              <w:t>Total</w:t>
            </w:r>
          </w:p>
        </w:tc>
        <w:tc>
          <w:tcPr>
            <w:tcW w:w="1091" w:type="dxa"/>
            <w:shd w:val="clear" w:color="auto" w:fill="D9D9D9" w:themeFill="background1" w:themeFillShade="D9"/>
            <w:vAlign w:val="center"/>
          </w:tcPr>
          <w:p w14:paraId="57D4ACFE" w14:textId="77777777" w:rsidR="00A60C85" w:rsidRPr="00560060" w:rsidRDefault="00A60C85" w:rsidP="005455F8">
            <w:pPr>
              <w:jc w:val="right"/>
              <w:rPr>
                <w:rFonts w:ascii="Arial" w:hAnsi="Arial" w:cs="Arial"/>
                <w:b/>
                <w:sz w:val="20"/>
                <w:szCs w:val="20"/>
              </w:rPr>
            </w:pPr>
            <w:r w:rsidRPr="00560060">
              <w:rPr>
                <w:rFonts w:ascii="Arial" w:hAnsi="Arial" w:cs="Arial"/>
                <w:b/>
                <w:sz w:val="20"/>
                <w:szCs w:val="20"/>
              </w:rPr>
              <w:t>$5,300</w:t>
            </w:r>
          </w:p>
        </w:tc>
        <w:tc>
          <w:tcPr>
            <w:tcW w:w="2216" w:type="dxa"/>
            <w:shd w:val="clear" w:color="auto" w:fill="D9D9D9" w:themeFill="background1" w:themeFillShade="D9"/>
            <w:vAlign w:val="center"/>
          </w:tcPr>
          <w:p w14:paraId="14FD6059" w14:textId="77777777" w:rsidR="00A60C85" w:rsidRPr="00560060" w:rsidRDefault="00A60C85" w:rsidP="005455F8">
            <w:pPr>
              <w:ind w:left="585" w:right="475"/>
              <w:jc w:val="right"/>
              <w:rPr>
                <w:rFonts w:ascii="Arial" w:hAnsi="Arial" w:cs="Arial"/>
                <w:b/>
                <w:sz w:val="20"/>
                <w:szCs w:val="20"/>
              </w:rPr>
            </w:pPr>
            <w:r w:rsidRPr="00560060">
              <w:rPr>
                <w:rFonts w:ascii="Arial" w:hAnsi="Arial" w:cs="Arial"/>
                <w:b/>
                <w:sz w:val="20"/>
                <w:szCs w:val="20"/>
              </w:rPr>
              <w:t>$5,300</w:t>
            </w:r>
          </w:p>
        </w:tc>
        <w:tc>
          <w:tcPr>
            <w:tcW w:w="2009" w:type="dxa"/>
            <w:shd w:val="clear" w:color="auto" w:fill="D9D9D9" w:themeFill="background1" w:themeFillShade="D9"/>
            <w:vAlign w:val="center"/>
          </w:tcPr>
          <w:p w14:paraId="5765E22A" w14:textId="77777777" w:rsidR="00A60C85" w:rsidRPr="00560060" w:rsidRDefault="00A60C85" w:rsidP="005455F8">
            <w:pPr>
              <w:ind w:left="443" w:right="333"/>
              <w:jc w:val="right"/>
              <w:rPr>
                <w:rFonts w:ascii="Arial" w:hAnsi="Arial" w:cs="Arial"/>
                <w:b/>
                <w:sz w:val="20"/>
                <w:szCs w:val="20"/>
              </w:rPr>
            </w:pPr>
            <w:r w:rsidRPr="00560060">
              <w:rPr>
                <w:rFonts w:ascii="Arial" w:hAnsi="Arial" w:cs="Arial"/>
                <w:b/>
                <w:sz w:val="20"/>
                <w:szCs w:val="20"/>
              </w:rPr>
              <w:t>$5,300</w:t>
            </w:r>
          </w:p>
        </w:tc>
        <w:tc>
          <w:tcPr>
            <w:tcW w:w="1542" w:type="dxa"/>
            <w:shd w:val="clear" w:color="auto" w:fill="D9D9D9" w:themeFill="background1" w:themeFillShade="D9"/>
            <w:vAlign w:val="center"/>
          </w:tcPr>
          <w:p w14:paraId="7AA2490F" w14:textId="77777777" w:rsidR="00A60C85" w:rsidRPr="00560060" w:rsidRDefault="00A60C85" w:rsidP="005455F8">
            <w:pPr>
              <w:ind w:left="443"/>
              <w:jc w:val="right"/>
              <w:rPr>
                <w:rFonts w:ascii="Arial" w:hAnsi="Arial" w:cs="Arial"/>
                <w:b/>
                <w:sz w:val="20"/>
                <w:szCs w:val="20"/>
              </w:rPr>
            </w:pPr>
            <w:r w:rsidRPr="00560060">
              <w:rPr>
                <w:rFonts w:ascii="Arial" w:hAnsi="Arial" w:cs="Arial"/>
                <w:b/>
                <w:sz w:val="20"/>
                <w:szCs w:val="20"/>
              </w:rPr>
              <w:t>$15,900</w:t>
            </w:r>
          </w:p>
        </w:tc>
        <w:tc>
          <w:tcPr>
            <w:tcW w:w="1089" w:type="dxa"/>
            <w:shd w:val="clear" w:color="auto" w:fill="D9D9D9" w:themeFill="background1" w:themeFillShade="D9"/>
          </w:tcPr>
          <w:p w14:paraId="3ED9C28E" w14:textId="77777777" w:rsidR="00A60C85" w:rsidRPr="002507EE" w:rsidRDefault="00A60C85" w:rsidP="005455F8">
            <w:pPr>
              <w:ind w:left="443"/>
              <w:jc w:val="right"/>
              <w:rPr>
                <w:rFonts w:ascii="Arial" w:hAnsi="Arial" w:cs="Arial"/>
                <w:sz w:val="20"/>
                <w:szCs w:val="20"/>
              </w:rPr>
            </w:pPr>
            <w:r w:rsidRPr="002507EE">
              <w:rPr>
                <w:rFonts w:ascii="Arial" w:hAnsi="Arial" w:cs="Arial"/>
                <w:sz w:val="20"/>
                <w:szCs w:val="20"/>
              </w:rPr>
              <w:t>384</w:t>
            </w:r>
          </w:p>
        </w:tc>
      </w:tr>
    </w:tbl>
    <w:p w14:paraId="6851CDE8" w14:textId="77777777" w:rsidR="00983AE6" w:rsidRPr="00736F23" w:rsidRDefault="00983AE6" w:rsidP="00983AE6">
      <w:pPr>
        <w:spacing w:before="120"/>
      </w:pPr>
      <w:r w:rsidRPr="00736F23">
        <w:t>An approved</w:t>
      </w:r>
      <w:r>
        <w:t xml:space="preserve"> course</w:t>
      </w:r>
      <w:r w:rsidRPr="00736F23">
        <w:t xml:space="preserve"> provider may charge on the basis of an estimate of tuition fees if at the time the course </w:t>
      </w:r>
      <w:r>
        <w:t>begins</w:t>
      </w:r>
      <w:r w:rsidRPr="00736F23">
        <w:t xml:space="preserve"> the provider does not know:</w:t>
      </w:r>
    </w:p>
    <w:p w14:paraId="25552D9A" w14:textId="77777777" w:rsidR="00983AE6" w:rsidRPr="00736F23" w:rsidRDefault="00983AE6" w:rsidP="00A0727A">
      <w:pPr>
        <w:pStyle w:val="ListBullet"/>
        <w:numPr>
          <w:ilvl w:val="0"/>
          <w:numId w:val="74"/>
        </w:numPr>
      </w:pPr>
      <w:r w:rsidRPr="00736F23">
        <w:t>the total of the tuition fees for the course</w:t>
      </w:r>
      <w:r>
        <w:t>,</w:t>
      </w:r>
      <w:r w:rsidRPr="00736F23">
        <w:t xml:space="preserve"> or</w:t>
      </w:r>
    </w:p>
    <w:p w14:paraId="4FC32B23" w14:textId="77777777" w:rsidR="00983AE6" w:rsidRPr="00736F23" w:rsidRDefault="00983AE6" w:rsidP="00A0727A">
      <w:pPr>
        <w:pStyle w:val="ListBullet"/>
        <w:numPr>
          <w:ilvl w:val="0"/>
          <w:numId w:val="74"/>
        </w:numPr>
      </w:pPr>
      <w:r w:rsidRPr="00736F23">
        <w:t xml:space="preserve">the duration </w:t>
      </w:r>
      <w:r>
        <w:t>of the</w:t>
      </w:r>
      <w:r w:rsidRPr="00736F23">
        <w:t xml:space="preserve"> course</w:t>
      </w:r>
      <w:r>
        <w:t>,</w:t>
      </w:r>
      <w:r w:rsidRPr="00736F23">
        <w:t xml:space="preserve"> or</w:t>
      </w:r>
    </w:p>
    <w:p w14:paraId="0D5AAE6B" w14:textId="77777777" w:rsidR="00983AE6" w:rsidRPr="00736F23" w:rsidRDefault="00983AE6" w:rsidP="00A0727A">
      <w:pPr>
        <w:pStyle w:val="ListBullet"/>
        <w:numPr>
          <w:ilvl w:val="0"/>
          <w:numId w:val="74"/>
        </w:numPr>
        <w:rPr>
          <w:sz w:val="20"/>
          <w:szCs w:val="20"/>
        </w:rPr>
      </w:pPr>
      <w:r w:rsidRPr="00736F23">
        <w:t>whether a student will need to pay all of the tuition fees usually payable for the course</w:t>
      </w:r>
      <w:r w:rsidRPr="00736F23">
        <w:rPr>
          <w:sz w:val="20"/>
          <w:szCs w:val="20"/>
        </w:rPr>
        <w:t xml:space="preserve"> </w:t>
      </w:r>
      <w:r>
        <w:rPr>
          <w:rStyle w:val="ReferenceChar"/>
        </w:rPr>
        <w:t>[Rules </w:t>
      </w:r>
      <w:r w:rsidRPr="00986339">
        <w:rPr>
          <w:rStyle w:val="ReferenceChar"/>
        </w:rPr>
        <w:t>s</w:t>
      </w:r>
      <w:r>
        <w:rPr>
          <w:rStyle w:val="ReferenceChar"/>
        </w:rPr>
        <w:t> </w:t>
      </w:r>
      <w:r w:rsidRPr="00986339">
        <w:rPr>
          <w:rStyle w:val="ReferenceChar"/>
        </w:rPr>
        <w:t>122(2)]</w:t>
      </w:r>
      <w:r w:rsidRPr="00736F23">
        <w:rPr>
          <w:sz w:val="20"/>
          <w:szCs w:val="20"/>
        </w:rPr>
        <w:t>.</w:t>
      </w:r>
    </w:p>
    <w:p w14:paraId="6AE1E409" w14:textId="77777777" w:rsidR="00983AE6" w:rsidRDefault="00983AE6" w:rsidP="00983AE6">
      <w:r w:rsidRPr="00736F23">
        <w:t>The estimate cannot exceed the maximum tuition fees mentioned in marketing of the course. If the actual total of the tuition fees for the course exceeds the estimate, the provider may charge the excess only during the final fee period for the course.</w:t>
      </w:r>
    </w:p>
    <w:p w14:paraId="580588B6" w14:textId="5A7572BA" w:rsidR="00983AE6" w:rsidRPr="00293C00" w:rsidRDefault="00983AE6" w:rsidP="008D79DC">
      <w:pPr>
        <w:pStyle w:val="Heading5"/>
      </w:pPr>
      <w:bookmarkStart w:id="2636" w:name="_Toc481505259"/>
      <w:bookmarkStart w:id="2637" w:name="_Toc483209575"/>
      <w:bookmarkStart w:id="2638" w:name="_Toc483222904"/>
      <w:r w:rsidRPr="00293C00">
        <w:t>Fee periods and complying with State or Territory funding arrangements</w:t>
      </w:r>
      <w:bookmarkEnd w:id="2636"/>
      <w:bookmarkEnd w:id="2637"/>
      <w:bookmarkEnd w:id="2638"/>
    </w:p>
    <w:p w14:paraId="675A888E" w14:textId="77777777" w:rsidR="00983AE6" w:rsidRPr="00736F23" w:rsidRDefault="00983AE6" w:rsidP="00983AE6">
      <w:r w:rsidRPr="00736F23">
        <w:t xml:space="preserve">A provider does not have to comply with the </w:t>
      </w:r>
      <w:r>
        <w:t xml:space="preserve">fee period requirements </w:t>
      </w:r>
      <w:r w:rsidRPr="00736F23">
        <w:t xml:space="preserve">if compliance </w:t>
      </w:r>
      <w:r>
        <w:t xml:space="preserve">with these requirements </w:t>
      </w:r>
      <w:r w:rsidRPr="00736F23">
        <w:t>would be inconsistent with an arrangement the provider made with an authority of a State or Territory</w:t>
      </w:r>
      <w:r>
        <w:t>,</w:t>
      </w:r>
      <w:r w:rsidRPr="00736F23">
        <w:t xml:space="preserve"> and:</w:t>
      </w:r>
    </w:p>
    <w:p w14:paraId="173592A5" w14:textId="77777777" w:rsidR="00983AE6" w:rsidRPr="00736F23" w:rsidRDefault="00983AE6" w:rsidP="00A0727A">
      <w:pPr>
        <w:pStyle w:val="ListBullet"/>
        <w:numPr>
          <w:ilvl w:val="0"/>
          <w:numId w:val="74"/>
        </w:numPr>
      </w:pPr>
      <w:r w:rsidRPr="00736F23">
        <w:t>the</w:t>
      </w:r>
      <w:r>
        <w:t xml:space="preserve"> provider</w:t>
      </w:r>
      <w:r w:rsidRPr="00736F23">
        <w:t xml:space="preserve"> </w:t>
      </w:r>
      <w:r>
        <w:t>is fully</w:t>
      </w:r>
      <w:r w:rsidRPr="00736F23">
        <w:t xml:space="preserve"> complying with that arrangement</w:t>
      </w:r>
      <w:r>
        <w:t>,</w:t>
      </w:r>
      <w:r w:rsidRPr="00736F23">
        <w:t xml:space="preserve"> and</w:t>
      </w:r>
    </w:p>
    <w:p w14:paraId="7D477C5C" w14:textId="77777777" w:rsidR="00983AE6" w:rsidRPr="00736F23" w:rsidRDefault="00983AE6" w:rsidP="00A0727A">
      <w:pPr>
        <w:pStyle w:val="ListBullet"/>
        <w:numPr>
          <w:ilvl w:val="0"/>
          <w:numId w:val="74"/>
        </w:numPr>
      </w:pPr>
      <w:r w:rsidRPr="00736F23">
        <w:t xml:space="preserve">the </w:t>
      </w:r>
      <w:r>
        <w:t xml:space="preserve">provider has </w:t>
      </w:r>
      <w:r w:rsidRPr="00736F23">
        <w:t>provided a written notice to the Secretary describing the arrangement, the provider</w:t>
      </w:r>
      <w:r>
        <w:t>’</w:t>
      </w:r>
      <w:r w:rsidRPr="00736F23">
        <w:t xml:space="preserve">s full compliance with the arrangement, and how the arrangement prevents the provider from complying with the above and the extent of the non-compliance </w:t>
      </w:r>
      <w:r w:rsidRPr="00986339">
        <w:rPr>
          <w:rStyle w:val="ReferenceChar"/>
        </w:rPr>
        <w:t>[Rules s 124]</w:t>
      </w:r>
      <w:r w:rsidRPr="00736F23">
        <w:rPr>
          <w:spacing w:val="-1"/>
          <w:sz w:val="20"/>
          <w:szCs w:val="20"/>
        </w:rPr>
        <w:t>.</w:t>
      </w:r>
    </w:p>
    <w:p w14:paraId="3A7ACD02" w14:textId="77777777" w:rsidR="000C58DC" w:rsidRDefault="00983AE6" w:rsidP="000C58DC">
      <w:bookmarkStart w:id="2639" w:name="_Toc471374447"/>
      <w:bookmarkStart w:id="2640" w:name="_Toc481505260"/>
      <w:r>
        <w:t>The provider gives written notice to the Secretary of f</w:t>
      </w:r>
      <w:r w:rsidRPr="00B72119">
        <w:t>ee periods and complying with State or Territory funding arrangements</w:t>
      </w:r>
      <w:r>
        <w:t xml:space="preserve"> by accessing the </w:t>
      </w:r>
      <w:r w:rsidR="007C3509">
        <w:t>p</w:t>
      </w:r>
      <w:r w:rsidRPr="00E03E53">
        <w:t>rovider online enquiry form at</w:t>
      </w:r>
      <w:r w:rsidR="000C58DC">
        <w:t>:</w:t>
      </w:r>
      <w:r w:rsidRPr="00E03E53">
        <w:t xml:space="preserve"> </w:t>
      </w:r>
      <w:hyperlink r:id="rId96" w:history="1">
        <w:r w:rsidR="000C58DC">
          <w:rPr>
            <w:rStyle w:val="Hyperlink"/>
          </w:rPr>
          <w:t>https://www.education.gov.au/information-vet-student-loans-approved-providers</w:t>
        </w:r>
      </w:hyperlink>
      <w:r w:rsidR="000C58DC">
        <w:t>.</w:t>
      </w:r>
    </w:p>
    <w:p w14:paraId="14179BAC" w14:textId="77777777" w:rsidR="005C79FB" w:rsidRDefault="005C79FB" w:rsidP="005C79FB">
      <w:r>
        <w:t>Under ‘Frequently asked questions’ scroll to the last option on the list (‘Click here if you stil</w:t>
      </w:r>
      <w:r w:rsidR="00DF7FE6">
        <w:t xml:space="preserve">l need help’), then choose ‘New VET </w:t>
      </w:r>
      <w:r>
        <w:t>Student Loans’ from the drop down list and then choose ‘Other’. Insert in the enquiry text field:</w:t>
      </w:r>
    </w:p>
    <w:p w14:paraId="68BBD612" w14:textId="45AE7255" w:rsidR="00373C26" w:rsidRDefault="00373C26" w:rsidP="00373C26">
      <w:pPr>
        <w:rPr>
          <w:rStyle w:val="Emphasis"/>
        </w:rPr>
      </w:pPr>
      <w:r w:rsidRPr="00C33A11">
        <w:rPr>
          <w:rStyle w:val="Emphasis"/>
        </w:rPr>
        <w:t xml:space="preserve">Notice – </w:t>
      </w:r>
      <w:r w:rsidR="002478CE">
        <w:rPr>
          <w:rStyle w:val="Emphasis"/>
        </w:rPr>
        <w:t>Fee period exemption</w:t>
      </w:r>
      <w:r w:rsidRPr="00C33A11">
        <w:rPr>
          <w:rStyle w:val="Emphasis"/>
        </w:rPr>
        <w:t xml:space="preserve"> - [provider name]</w:t>
      </w:r>
    </w:p>
    <w:p w14:paraId="5064F8C6" w14:textId="29E0C732" w:rsidR="002478CE" w:rsidRPr="002478CE" w:rsidRDefault="002478CE" w:rsidP="00373C26">
      <w:r w:rsidRPr="002478CE">
        <w:t xml:space="preserve">The </w:t>
      </w:r>
      <w:r>
        <w:t>department will then liaise with the provider regarding providing required information.</w:t>
      </w:r>
    </w:p>
    <w:p w14:paraId="6B60DF4E" w14:textId="0BA66753" w:rsidR="00983AE6" w:rsidRPr="00736F23" w:rsidRDefault="00983AE6" w:rsidP="00983AE6">
      <w:pPr>
        <w:pStyle w:val="Heading3"/>
      </w:pPr>
      <w:bookmarkStart w:id="2641" w:name="_Toc477961731"/>
      <w:bookmarkStart w:id="2642" w:name="_Toc477962217"/>
      <w:bookmarkStart w:id="2643" w:name="_Toc477962704"/>
      <w:bookmarkStart w:id="2644" w:name="_Toc477963190"/>
      <w:bookmarkStart w:id="2645" w:name="_Toc477963686"/>
      <w:bookmarkStart w:id="2646" w:name="_Toc478042878"/>
      <w:bookmarkStart w:id="2647" w:name="_Toc478367128"/>
      <w:bookmarkStart w:id="2648" w:name="_Toc479083741"/>
      <w:bookmarkStart w:id="2649" w:name="_Providing_fee_information"/>
      <w:bookmarkStart w:id="2650" w:name="_Providing_and_publishing"/>
      <w:bookmarkStart w:id="2651" w:name="_Toc477962218"/>
      <w:bookmarkStart w:id="2652" w:name="_Toc477962705"/>
      <w:bookmarkStart w:id="2653" w:name="_Toc477963191"/>
      <w:bookmarkStart w:id="2654" w:name="_Toc477963687"/>
      <w:bookmarkStart w:id="2655" w:name="_Toc478042879"/>
      <w:bookmarkStart w:id="2656" w:name="_Toc478367129"/>
      <w:bookmarkStart w:id="2657" w:name="_Toc479083742"/>
      <w:bookmarkStart w:id="2658" w:name="_Toc483222907"/>
      <w:bookmarkStart w:id="2659" w:name="_Toc501621226"/>
      <w:bookmarkStart w:id="2660" w:name="_Toc47137444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r>
        <w:t>4.8.</w:t>
      </w:r>
      <w:r w:rsidR="00B665C6">
        <w:t>1</w:t>
      </w:r>
      <w:r w:rsidR="000923FD">
        <w:t>3</w:t>
      </w:r>
      <w:r w:rsidR="00C36EDC">
        <w:t xml:space="preserve"> </w:t>
      </w:r>
      <w:r w:rsidRPr="00736F23">
        <w:t xml:space="preserve">Variations to </w:t>
      </w:r>
      <w:r>
        <w:t>tuition fees</w:t>
      </w:r>
      <w:bookmarkEnd w:id="2658"/>
      <w:bookmarkEnd w:id="2659"/>
    </w:p>
    <w:p w14:paraId="7E6397A9" w14:textId="77777777" w:rsidR="00983AE6" w:rsidRDefault="00983AE6" w:rsidP="00983AE6">
      <w:r w:rsidRPr="00736F23">
        <w:t xml:space="preserve">A provider may only vary a published </w:t>
      </w:r>
      <w:r>
        <w:t>tuition fee for a course or a part of a course:</w:t>
      </w:r>
    </w:p>
    <w:p w14:paraId="4DBE36FD" w14:textId="77777777" w:rsidR="00983AE6" w:rsidRDefault="00983AE6" w:rsidP="00A0727A">
      <w:pPr>
        <w:pStyle w:val="ListBullet"/>
        <w:numPr>
          <w:ilvl w:val="0"/>
          <w:numId w:val="74"/>
        </w:numPr>
      </w:pPr>
      <w:r>
        <w:t>if the Secretary has given the provider written approval of the proposed variation, or</w:t>
      </w:r>
    </w:p>
    <w:p w14:paraId="155066D9" w14:textId="77777777" w:rsidR="00983AE6" w:rsidRPr="00736F23" w:rsidRDefault="00983AE6" w:rsidP="00A0727A">
      <w:pPr>
        <w:pStyle w:val="ListBullet"/>
        <w:numPr>
          <w:ilvl w:val="0"/>
          <w:numId w:val="74"/>
        </w:numPr>
      </w:pPr>
      <w:r w:rsidRPr="00736F23">
        <w:lastRenderedPageBreak/>
        <w:t>if the change:</w:t>
      </w:r>
    </w:p>
    <w:p w14:paraId="48864BA1" w14:textId="77777777" w:rsidR="00983AE6" w:rsidRPr="00736F23" w:rsidRDefault="00983AE6" w:rsidP="00A0727A">
      <w:pPr>
        <w:pStyle w:val="ListBullet2"/>
        <w:numPr>
          <w:ilvl w:val="1"/>
          <w:numId w:val="44"/>
        </w:numPr>
      </w:pPr>
      <w:r w:rsidRPr="00736F23">
        <w:t>occurs before the</w:t>
      </w:r>
      <w:r>
        <w:t xml:space="preserve"> published</w:t>
      </w:r>
      <w:r w:rsidRPr="00736F23">
        <w:t xml:space="preserve"> census date; and </w:t>
      </w:r>
    </w:p>
    <w:p w14:paraId="63102D30" w14:textId="77777777" w:rsidR="00983AE6" w:rsidRPr="00736F23" w:rsidRDefault="00983AE6" w:rsidP="00A0727A">
      <w:pPr>
        <w:pStyle w:val="ListBullet2"/>
        <w:numPr>
          <w:ilvl w:val="1"/>
          <w:numId w:val="44"/>
        </w:numPr>
      </w:pPr>
      <w:r w:rsidRPr="00736F23">
        <w:t>does not disadvantage students enrolled in</w:t>
      </w:r>
      <w:r>
        <w:t>, or seeking to enrol in</w:t>
      </w:r>
      <w:r w:rsidRPr="00736F23">
        <w:t xml:space="preserve"> that course</w:t>
      </w:r>
      <w:r>
        <w:t xml:space="preserve"> or part of the course</w:t>
      </w:r>
      <w:r w:rsidRPr="00736F23">
        <w:t>; and</w:t>
      </w:r>
    </w:p>
    <w:p w14:paraId="7EA27222" w14:textId="77777777" w:rsidR="00983AE6" w:rsidRPr="00736F23" w:rsidRDefault="00983AE6" w:rsidP="00A0727A">
      <w:pPr>
        <w:pStyle w:val="ListBullet2"/>
        <w:numPr>
          <w:ilvl w:val="1"/>
          <w:numId w:val="44"/>
        </w:numPr>
      </w:pPr>
      <w:r w:rsidRPr="00736F23">
        <w:t>is</w:t>
      </w:r>
      <w:r w:rsidRPr="00D85DCB">
        <w:t xml:space="preserve"> necessary</w:t>
      </w:r>
      <w:r w:rsidRPr="00736F23">
        <w:t xml:space="preserve"> to correct an administrative error</w:t>
      </w:r>
      <w:r>
        <w:t xml:space="preserve"> or deal with a change in circumstances</w:t>
      </w:r>
      <w:r w:rsidRPr="00736F23">
        <w:t xml:space="preserve"> </w:t>
      </w:r>
      <w:r>
        <w:rPr>
          <w:rStyle w:val="ReferenceChar"/>
        </w:rPr>
        <w:t>[Rules </w:t>
      </w:r>
      <w:r w:rsidRPr="00F414B8">
        <w:rPr>
          <w:rStyle w:val="ReferenceChar"/>
        </w:rPr>
        <w:t>s</w:t>
      </w:r>
      <w:r>
        <w:rPr>
          <w:rStyle w:val="ReferenceChar"/>
        </w:rPr>
        <w:t> </w:t>
      </w:r>
      <w:r w:rsidRPr="00F414B8">
        <w:rPr>
          <w:rStyle w:val="ReferenceChar"/>
        </w:rPr>
        <w:t>126(1)]</w:t>
      </w:r>
      <w:r w:rsidRPr="00736F23">
        <w:rPr>
          <w:rStyle w:val="ReferencesChar"/>
          <w:rFonts w:asciiTheme="minorHAnsi" w:hAnsiTheme="minorHAnsi" w:cstheme="minorHAnsi"/>
          <w:sz w:val="20"/>
          <w:szCs w:val="20"/>
        </w:rPr>
        <w:t>.</w:t>
      </w:r>
    </w:p>
    <w:p w14:paraId="3901918A" w14:textId="77777777" w:rsidR="00983AE6" w:rsidRPr="00736F23" w:rsidRDefault="00983AE6" w:rsidP="00983AE6">
      <w:r w:rsidRPr="00736F23">
        <w:t xml:space="preserve">While providers do not need to notify the department of variations to </w:t>
      </w:r>
      <w:r>
        <w:t>tuition fees</w:t>
      </w:r>
      <w:r w:rsidRPr="00736F23">
        <w:t xml:space="preserve"> that do not disadvantage students, they must publish the varied information on their website as soon as practicable after making that decision.</w:t>
      </w:r>
    </w:p>
    <w:p w14:paraId="0C393979" w14:textId="77777777" w:rsidR="00983AE6" w:rsidRPr="003F5097" w:rsidRDefault="00983AE6" w:rsidP="00983AE6">
      <w:r w:rsidRPr="003F5097">
        <w:t>This section does not apply in relation to a course offered under an arrangement that:</w:t>
      </w:r>
    </w:p>
    <w:p w14:paraId="0A5E7E5F" w14:textId="77777777" w:rsidR="00983AE6" w:rsidRPr="003F5097" w:rsidRDefault="00983AE6" w:rsidP="00A0727A">
      <w:pPr>
        <w:pStyle w:val="ListBullet"/>
        <w:numPr>
          <w:ilvl w:val="0"/>
          <w:numId w:val="74"/>
        </w:numPr>
      </w:pPr>
      <w:r w:rsidRPr="003F5097">
        <w:t>was entered into between the provider and an employer or industry body and</w:t>
      </w:r>
    </w:p>
    <w:p w14:paraId="6622CAD1" w14:textId="77777777" w:rsidR="00983AE6" w:rsidRPr="00283E59" w:rsidRDefault="00983AE6" w:rsidP="00A0727A">
      <w:pPr>
        <w:pStyle w:val="ListBullet"/>
        <w:numPr>
          <w:ilvl w:val="0"/>
          <w:numId w:val="74"/>
        </w:numPr>
      </w:pPr>
      <w:r w:rsidRPr="003F5097">
        <w:t>limits or restricts enrolments in some or all of the places in the course</w:t>
      </w:r>
      <w:r>
        <w:t xml:space="preserve"> </w:t>
      </w:r>
      <w:r w:rsidRPr="00F414B8">
        <w:rPr>
          <w:rStyle w:val="ReferenceChar"/>
        </w:rPr>
        <w:t>[Rules s 126(3)]</w:t>
      </w:r>
      <w:r w:rsidRPr="00283E59">
        <w:t>.</w:t>
      </w:r>
    </w:p>
    <w:p w14:paraId="5FCB98A1" w14:textId="472AB104" w:rsidR="00983AE6" w:rsidRPr="00736F23" w:rsidRDefault="00983AE6" w:rsidP="00983AE6">
      <w:pPr>
        <w:pStyle w:val="Heading3"/>
      </w:pPr>
      <w:bookmarkStart w:id="2661" w:name="_Toc483222908"/>
      <w:bookmarkStart w:id="2662" w:name="_Toc501621227"/>
      <w:r>
        <w:t>4.8.</w:t>
      </w:r>
      <w:r w:rsidR="00B665C6">
        <w:t>1</w:t>
      </w:r>
      <w:r w:rsidR="000923FD">
        <w:t>4</w:t>
      </w:r>
      <w:r w:rsidR="00C36EDC">
        <w:t xml:space="preserve">   </w:t>
      </w:r>
      <w:r w:rsidRPr="00736F23">
        <w:t xml:space="preserve">Variations </w:t>
      </w:r>
      <w:r>
        <w:t>to tuition fees that disadvantage students</w:t>
      </w:r>
      <w:bookmarkEnd w:id="2661"/>
      <w:bookmarkEnd w:id="2662"/>
    </w:p>
    <w:p w14:paraId="20AB3720" w14:textId="77777777" w:rsidR="00983AE6" w:rsidRDefault="00983AE6" w:rsidP="00983AE6">
      <w:r w:rsidRPr="00736F23">
        <w:t xml:space="preserve">Approval of the Secretary of the </w:t>
      </w:r>
      <w:r>
        <w:t>d</w:t>
      </w:r>
      <w:r w:rsidRPr="00736F23">
        <w:t xml:space="preserve">epartment is required for proposed variations that will disadvantage students, such as </w:t>
      </w:r>
      <w:r>
        <w:t xml:space="preserve">increasing a tuition fee </w:t>
      </w:r>
      <w:r w:rsidRPr="00F414B8">
        <w:rPr>
          <w:rStyle w:val="ReferenceChar"/>
        </w:rPr>
        <w:t>[Rules s 126]</w:t>
      </w:r>
      <w:r w:rsidRPr="00736F23">
        <w:t>.</w:t>
      </w:r>
    </w:p>
    <w:p w14:paraId="22AD8DD5" w14:textId="77777777" w:rsidR="00983AE6" w:rsidRPr="00A5403F" w:rsidRDefault="00983AE6" w:rsidP="00983AE6">
      <w:r w:rsidRPr="00A5403F">
        <w:t>The request must include:</w:t>
      </w:r>
    </w:p>
    <w:p w14:paraId="7726E437" w14:textId="77777777" w:rsidR="00983AE6" w:rsidRPr="00A5403F" w:rsidRDefault="00983AE6" w:rsidP="00A0727A">
      <w:pPr>
        <w:pStyle w:val="ListBullet"/>
        <w:numPr>
          <w:ilvl w:val="0"/>
          <w:numId w:val="74"/>
        </w:numPr>
      </w:pPr>
      <w:r w:rsidRPr="00A5403F">
        <w:t>the name of the affected unit of study and unit of study code</w:t>
      </w:r>
    </w:p>
    <w:p w14:paraId="2A0E08E5" w14:textId="77777777" w:rsidR="00983AE6" w:rsidRPr="00A5403F" w:rsidRDefault="00983AE6" w:rsidP="00A0727A">
      <w:pPr>
        <w:pStyle w:val="ListBullet"/>
        <w:numPr>
          <w:ilvl w:val="0"/>
          <w:numId w:val="74"/>
        </w:numPr>
      </w:pPr>
      <w:r w:rsidRPr="00A5403F">
        <w:t>the course to which the unit forms</w:t>
      </w:r>
      <w:r>
        <w:t xml:space="preserve"> a</w:t>
      </w:r>
      <w:r w:rsidRPr="00A5403F">
        <w:t xml:space="preserve"> part</w:t>
      </w:r>
    </w:p>
    <w:p w14:paraId="7777F6DB" w14:textId="77777777" w:rsidR="00983AE6" w:rsidRPr="00A5403F" w:rsidRDefault="00983AE6" w:rsidP="00A0727A">
      <w:pPr>
        <w:pStyle w:val="ListBullet"/>
        <w:numPr>
          <w:ilvl w:val="0"/>
          <w:numId w:val="74"/>
        </w:numPr>
      </w:pPr>
      <w:r w:rsidRPr="00A5403F">
        <w:t>what change is being made</w:t>
      </w:r>
    </w:p>
    <w:p w14:paraId="50461C34" w14:textId="77777777" w:rsidR="00983AE6" w:rsidRPr="00A5403F" w:rsidRDefault="00983AE6" w:rsidP="00A0727A">
      <w:pPr>
        <w:pStyle w:val="ListBullet"/>
        <w:numPr>
          <w:ilvl w:val="0"/>
          <w:numId w:val="74"/>
        </w:numPr>
      </w:pPr>
      <w:r w:rsidRPr="00A5403F">
        <w:t>details of when the provider first became aware of the need to change</w:t>
      </w:r>
    </w:p>
    <w:p w14:paraId="2CB4DF6B" w14:textId="77777777" w:rsidR="00983AE6" w:rsidRPr="00A5403F" w:rsidRDefault="00983AE6" w:rsidP="00A0727A">
      <w:pPr>
        <w:pStyle w:val="ListBullet"/>
        <w:numPr>
          <w:ilvl w:val="0"/>
          <w:numId w:val="74"/>
        </w:numPr>
      </w:pPr>
      <w:r w:rsidRPr="00A5403F">
        <w:t xml:space="preserve">the commencement date for the unit </w:t>
      </w:r>
    </w:p>
    <w:p w14:paraId="31EBCE42" w14:textId="77777777" w:rsidR="00983AE6" w:rsidRDefault="00983AE6" w:rsidP="00A0727A">
      <w:pPr>
        <w:pStyle w:val="ListBullet"/>
        <w:numPr>
          <w:ilvl w:val="0"/>
          <w:numId w:val="74"/>
        </w:numPr>
      </w:pPr>
      <w:r w:rsidRPr="00A5403F">
        <w:t>the current census da</w:t>
      </w:r>
      <w:r>
        <w:t>y</w:t>
      </w:r>
      <w:r w:rsidRPr="00A5403F">
        <w:t xml:space="preserve"> for the unit</w:t>
      </w:r>
    </w:p>
    <w:p w14:paraId="3E549145" w14:textId="77777777" w:rsidR="00983AE6" w:rsidRDefault="00983AE6" w:rsidP="00A0727A">
      <w:pPr>
        <w:pStyle w:val="ListBullet"/>
        <w:numPr>
          <w:ilvl w:val="0"/>
          <w:numId w:val="74"/>
        </w:numPr>
      </w:pPr>
      <w:r>
        <w:t>the current tuition fee</w:t>
      </w:r>
    </w:p>
    <w:p w14:paraId="4D55CEFF" w14:textId="77777777" w:rsidR="00983AE6" w:rsidRPr="00A5403F" w:rsidRDefault="00983AE6" w:rsidP="00A0727A">
      <w:pPr>
        <w:pStyle w:val="ListBullet"/>
        <w:numPr>
          <w:ilvl w:val="0"/>
          <w:numId w:val="74"/>
        </w:numPr>
      </w:pPr>
      <w:r>
        <w:t>the intended increase in the tuition fee</w:t>
      </w:r>
    </w:p>
    <w:p w14:paraId="6FF2D8B0" w14:textId="77777777" w:rsidR="00983AE6" w:rsidRPr="00A5403F" w:rsidRDefault="00983AE6" w:rsidP="00A0727A">
      <w:pPr>
        <w:pStyle w:val="ListBullet"/>
        <w:numPr>
          <w:ilvl w:val="0"/>
          <w:numId w:val="74"/>
        </w:numPr>
      </w:pPr>
      <w:r w:rsidRPr="00A5403F">
        <w:t xml:space="preserve">the last day a person may enrol in the unit without incurring </w:t>
      </w:r>
      <w:r>
        <w:t>the increase</w:t>
      </w:r>
    </w:p>
    <w:p w14:paraId="526FBFCA" w14:textId="77777777" w:rsidR="00983AE6" w:rsidRPr="00A5403F" w:rsidRDefault="00983AE6" w:rsidP="00A0727A">
      <w:pPr>
        <w:pStyle w:val="ListBullet"/>
        <w:numPr>
          <w:ilvl w:val="0"/>
          <w:numId w:val="74"/>
        </w:numPr>
      </w:pPr>
      <w:r w:rsidRPr="00A5403F">
        <w:t xml:space="preserve">the number of students who are eligible for </w:t>
      </w:r>
      <w:r>
        <w:t>VET Student Loans</w:t>
      </w:r>
      <w:r w:rsidRPr="00A5403F">
        <w:t xml:space="preserve"> and enrolled in the unit of study</w:t>
      </w:r>
    </w:p>
    <w:p w14:paraId="241D78EF" w14:textId="77777777" w:rsidR="00983AE6" w:rsidRPr="00A5403F" w:rsidRDefault="00983AE6" w:rsidP="00A0727A">
      <w:pPr>
        <w:pStyle w:val="ListBullet"/>
        <w:numPr>
          <w:ilvl w:val="0"/>
          <w:numId w:val="74"/>
        </w:numPr>
      </w:pPr>
      <w:r w:rsidRPr="00A5403F">
        <w:t>whether the students have been advised of the possible variation</w:t>
      </w:r>
      <w:r>
        <w:t>,</w:t>
      </w:r>
      <w:r w:rsidRPr="00A5403F">
        <w:t xml:space="preserve"> and</w:t>
      </w:r>
    </w:p>
    <w:p w14:paraId="19B5266B" w14:textId="77777777" w:rsidR="00983AE6" w:rsidRPr="00A5403F" w:rsidRDefault="00983AE6" w:rsidP="00A0727A">
      <w:pPr>
        <w:pStyle w:val="ListBullet"/>
        <w:numPr>
          <w:ilvl w:val="0"/>
          <w:numId w:val="74"/>
        </w:numPr>
      </w:pPr>
      <w:r w:rsidRPr="00A5403F">
        <w:t xml:space="preserve">why the </w:t>
      </w:r>
      <w:r>
        <w:t>Secretary</w:t>
      </w:r>
      <w:r w:rsidRPr="00A5403F">
        <w:t xml:space="preserve"> should approve the request.</w:t>
      </w:r>
    </w:p>
    <w:p w14:paraId="558F962F" w14:textId="77777777" w:rsidR="00983AE6" w:rsidRPr="00A5403F" w:rsidRDefault="00983AE6" w:rsidP="00983AE6">
      <w:r w:rsidRPr="00A5403F">
        <w:t xml:space="preserve">The </w:t>
      </w:r>
      <w:r>
        <w:t>Secretary</w:t>
      </w:r>
      <w:r w:rsidRPr="00A5403F">
        <w:t xml:space="preserve"> will give written </w:t>
      </w:r>
      <w:r>
        <w:t xml:space="preserve">notification </w:t>
      </w:r>
      <w:r w:rsidRPr="00A5403F">
        <w:t>of the decision. The variation cannot be made unless</w:t>
      </w:r>
      <w:r>
        <w:t xml:space="preserve"> the Secretary has provided notice of</w:t>
      </w:r>
      <w:r w:rsidRPr="00A5403F">
        <w:t xml:space="preserve"> approval.</w:t>
      </w:r>
    </w:p>
    <w:p w14:paraId="00817593" w14:textId="77777777" w:rsidR="00983AE6" w:rsidRDefault="00983AE6" w:rsidP="00983AE6">
      <w:r w:rsidRPr="00475C7A">
        <w:t xml:space="preserve">Providers can request approval by uploading the request into HITS. See the chapter on ‘Uploading a Document’ in the </w:t>
      </w:r>
      <w:hyperlink r:id="rId97" w:history="1">
        <w:r w:rsidRPr="00F414B8">
          <w:rPr>
            <w:rStyle w:val="Hyperlink"/>
          </w:rPr>
          <w:t>HITS User Guide</w:t>
        </w:r>
      </w:hyperlink>
      <w:r w:rsidRPr="00475C7A">
        <w:rPr>
          <w:i/>
        </w:rPr>
        <w:t xml:space="preserve"> </w:t>
      </w:r>
      <w:r w:rsidRPr="00475C7A">
        <w:t>for further information</w:t>
      </w:r>
      <w:r>
        <w:t>.</w:t>
      </w:r>
    </w:p>
    <w:p w14:paraId="01883C7B" w14:textId="77777777" w:rsidR="000C58DC" w:rsidRDefault="00983AE6" w:rsidP="000C58DC">
      <w:r>
        <w:t xml:space="preserve">The provider must alert the department to its request by accessing the </w:t>
      </w:r>
      <w:r w:rsidR="007C3509">
        <w:t>p</w:t>
      </w:r>
      <w:r w:rsidRPr="00E03E53">
        <w:t xml:space="preserve">rovider online enquiry form at </w:t>
      </w:r>
      <w:hyperlink r:id="rId98" w:history="1">
        <w:r w:rsidR="000C58DC" w:rsidRPr="000C58DC">
          <w:rPr>
            <w:rStyle w:val="Hyperlink"/>
          </w:rPr>
          <w:t>www.education.gov.au/information-vet-student-loans-approved-providers</w:t>
        </w:r>
      </w:hyperlink>
      <w:r w:rsidR="000C58DC">
        <w:t>.</w:t>
      </w:r>
    </w:p>
    <w:p w14:paraId="6284F760" w14:textId="77777777" w:rsidR="005C79FB" w:rsidRDefault="005C79FB" w:rsidP="005C79FB">
      <w:r>
        <w:t>Under ‘Frequently asked questions’ scroll to the last option on the list (‘Click here if you still</w:t>
      </w:r>
      <w:r w:rsidR="00DF7FE6">
        <w:t xml:space="preserve"> need help’), then choose ‘New VET </w:t>
      </w:r>
      <w:r>
        <w:t>Student Loans’ from the drop down list and then choose ‘Other’. Insert in the enquiry text field:</w:t>
      </w:r>
    </w:p>
    <w:p w14:paraId="22130829" w14:textId="77777777" w:rsidR="00373C26" w:rsidRPr="00C33A11" w:rsidRDefault="00373C26" w:rsidP="00373C26">
      <w:pPr>
        <w:rPr>
          <w:rStyle w:val="Emphasis"/>
        </w:rPr>
      </w:pPr>
      <w:r>
        <w:rPr>
          <w:rStyle w:val="Emphasis"/>
        </w:rPr>
        <w:t>Request for variation to tuition fee</w:t>
      </w:r>
      <w:r w:rsidRPr="00C33A11">
        <w:rPr>
          <w:rStyle w:val="Emphasis"/>
        </w:rPr>
        <w:t xml:space="preserve"> - [provider name]</w:t>
      </w:r>
    </w:p>
    <w:p w14:paraId="0612E933" w14:textId="5EEB3B4E" w:rsidR="00983AE6" w:rsidRPr="00736F23" w:rsidRDefault="00983AE6" w:rsidP="00983AE6">
      <w:pPr>
        <w:pStyle w:val="Heading3"/>
      </w:pPr>
      <w:bookmarkStart w:id="2663" w:name="_Toc477961734"/>
      <w:bookmarkStart w:id="2664" w:name="_Toc477962221"/>
      <w:bookmarkStart w:id="2665" w:name="_Toc477962708"/>
      <w:bookmarkStart w:id="2666" w:name="_Toc477963194"/>
      <w:bookmarkStart w:id="2667" w:name="_Toc477963690"/>
      <w:bookmarkStart w:id="2668" w:name="_Toc478042882"/>
      <w:bookmarkStart w:id="2669" w:name="_Toc478367132"/>
      <w:bookmarkStart w:id="2670" w:name="_Toc479083745"/>
      <w:bookmarkStart w:id="2671" w:name="_Toc477961735"/>
      <w:bookmarkStart w:id="2672" w:name="_Toc477962222"/>
      <w:bookmarkStart w:id="2673" w:name="_Toc477962709"/>
      <w:bookmarkStart w:id="2674" w:name="_Toc477963195"/>
      <w:bookmarkStart w:id="2675" w:name="_Toc477963691"/>
      <w:bookmarkStart w:id="2676" w:name="_Toc478042883"/>
      <w:bookmarkStart w:id="2677" w:name="_Toc478367133"/>
      <w:bookmarkStart w:id="2678" w:name="_Toc479083746"/>
      <w:bookmarkStart w:id="2679" w:name="_Toc477961736"/>
      <w:bookmarkStart w:id="2680" w:name="_Toc477962223"/>
      <w:bookmarkStart w:id="2681" w:name="_Toc477962710"/>
      <w:bookmarkStart w:id="2682" w:name="_Toc477963196"/>
      <w:bookmarkStart w:id="2683" w:name="_Toc477963692"/>
      <w:bookmarkStart w:id="2684" w:name="_Toc478042884"/>
      <w:bookmarkStart w:id="2685" w:name="_Toc478367134"/>
      <w:bookmarkStart w:id="2686" w:name="_Toc479083747"/>
      <w:bookmarkStart w:id="2687" w:name="_Toc477961737"/>
      <w:bookmarkStart w:id="2688" w:name="_Toc477962224"/>
      <w:bookmarkStart w:id="2689" w:name="_Toc477962711"/>
      <w:bookmarkStart w:id="2690" w:name="_Toc477963197"/>
      <w:bookmarkStart w:id="2691" w:name="_Toc477963693"/>
      <w:bookmarkStart w:id="2692" w:name="_Toc478042885"/>
      <w:bookmarkStart w:id="2693" w:name="_Toc478367135"/>
      <w:bookmarkStart w:id="2694" w:name="_Toc479083748"/>
      <w:bookmarkStart w:id="2695" w:name="_Processes_and_procedures_4"/>
      <w:bookmarkStart w:id="2696" w:name="_Processes__and"/>
      <w:bookmarkStart w:id="2697" w:name="_4.8.11__"/>
      <w:bookmarkStart w:id="2698" w:name="_Toc483222909"/>
      <w:bookmarkStart w:id="2699" w:name="_Toc501621228"/>
      <w:bookmarkEnd w:id="2660"/>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t>4.8.</w:t>
      </w:r>
      <w:r w:rsidR="00B665C6">
        <w:t>1</w:t>
      </w:r>
      <w:r w:rsidR="000923FD">
        <w:t>5</w:t>
      </w:r>
      <w:r w:rsidR="00C36EDC">
        <w:t xml:space="preserve">   </w:t>
      </w:r>
      <w:r w:rsidRPr="00736F23">
        <w:t>Processes and procedures relating to re-crediting a FEE-HELP balance</w:t>
      </w:r>
      <w:bookmarkEnd w:id="2698"/>
      <w:bookmarkEnd w:id="2699"/>
      <w:r w:rsidRPr="00736F23">
        <w:t xml:space="preserve"> </w:t>
      </w:r>
    </w:p>
    <w:p w14:paraId="1E890732" w14:textId="77777777" w:rsidR="00983AE6" w:rsidRPr="00736F23" w:rsidRDefault="00983AE6" w:rsidP="00983AE6">
      <w:r w:rsidRPr="00736F23">
        <w:t>An approved</w:t>
      </w:r>
      <w:r>
        <w:t xml:space="preserve"> course</w:t>
      </w:r>
      <w:r w:rsidRPr="00736F23">
        <w:t xml:space="preserve"> provider must have process</w:t>
      </w:r>
      <w:r>
        <w:t>es</w:t>
      </w:r>
      <w:r w:rsidRPr="00736F23">
        <w:t xml:space="preserve"> and </w:t>
      </w:r>
      <w:r>
        <w:t xml:space="preserve">procedures </w:t>
      </w:r>
      <w:r w:rsidRPr="00736F23">
        <w:t>for explaining the re-crediting of students’ FEE</w:t>
      </w:r>
      <w:r w:rsidRPr="00736F23">
        <w:noBreakHyphen/>
        <w:t xml:space="preserve">HELP balances under </w:t>
      </w:r>
      <w:r>
        <w:t>P</w:t>
      </w:r>
      <w:r w:rsidRPr="00736F23">
        <w:t xml:space="preserve">art 6 of the Act </w:t>
      </w:r>
      <w:r w:rsidR="00F264CD" w:rsidRPr="00F414B8">
        <w:rPr>
          <w:rStyle w:val="ReferenceChar"/>
        </w:rPr>
        <w:t>[Rules s 89]</w:t>
      </w:r>
      <w:r w:rsidR="00F264CD">
        <w:t>.</w:t>
      </w:r>
    </w:p>
    <w:p w14:paraId="09E5CF73" w14:textId="77777777" w:rsidR="00983AE6" w:rsidRPr="00736F23" w:rsidRDefault="00983AE6" w:rsidP="00983AE6">
      <w:r w:rsidRPr="00736F23">
        <w:lastRenderedPageBreak/>
        <w:t>The processes and procedure</w:t>
      </w:r>
      <w:r>
        <w:t>s</w:t>
      </w:r>
      <w:r w:rsidRPr="00736F23">
        <w:t xml:space="preserve"> must explain</w:t>
      </w:r>
      <w:r>
        <w:t xml:space="preserve"> </w:t>
      </w:r>
      <w:r w:rsidRPr="00F414B8">
        <w:rPr>
          <w:rStyle w:val="ReferenceChar"/>
        </w:rPr>
        <w:t>[Rules s 89]</w:t>
      </w:r>
      <w:r w:rsidRPr="00736F23">
        <w:t>:</w:t>
      </w:r>
    </w:p>
    <w:p w14:paraId="505430CA" w14:textId="77777777" w:rsidR="00983AE6" w:rsidRPr="00736F23" w:rsidRDefault="00983AE6" w:rsidP="00A0727A">
      <w:pPr>
        <w:pStyle w:val="ListBullet"/>
        <w:numPr>
          <w:ilvl w:val="0"/>
          <w:numId w:val="74"/>
        </w:numPr>
      </w:pPr>
      <w:r w:rsidRPr="00736F23">
        <w:t>that a student’s FEE</w:t>
      </w:r>
      <w:r w:rsidRPr="00736F23">
        <w:noBreakHyphen/>
        <w:t>HELP balance can be re</w:t>
      </w:r>
      <w:r w:rsidRPr="00736F23">
        <w:noBreakHyphen/>
        <w:t>credited under Part 6 of the Act</w:t>
      </w:r>
    </w:p>
    <w:p w14:paraId="48E09032" w14:textId="6991F191" w:rsidR="00983AE6" w:rsidRPr="00736F23" w:rsidRDefault="00983AE6" w:rsidP="00A0727A">
      <w:pPr>
        <w:pStyle w:val="ListBullet"/>
        <w:numPr>
          <w:ilvl w:val="0"/>
          <w:numId w:val="74"/>
        </w:numPr>
      </w:pPr>
      <w:r w:rsidRPr="00736F23">
        <w:t>that a student may apply to the provider for the student’s FEE</w:t>
      </w:r>
      <w:r w:rsidRPr="00736F23">
        <w:noBreakHyphen/>
        <w:t>HELP balance to be re</w:t>
      </w:r>
      <w:r w:rsidRPr="00736F23">
        <w:noBreakHyphen/>
        <w:t xml:space="preserve">credited under section 68 of the Act because of </w:t>
      </w:r>
      <w:r w:rsidR="002478CE">
        <w:t>special circumstances</w:t>
      </w:r>
    </w:p>
    <w:p w14:paraId="6A08ADB2" w14:textId="77777777" w:rsidR="00983AE6" w:rsidRPr="00736F23" w:rsidRDefault="00983AE6" w:rsidP="00A0727A">
      <w:pPr>
        <w:pStyle w:val="ListBullet"/>
        <w:numPr>
          <w:ilvl w:val="0"/>
          <w:numId w:val="74"/>
        </w:numPr>
      </w:pPr>
      <w:r w:rsidRPr="00736F23">
        <w:t>that a student may apply to the Secretary for the student’s FEE</w:t>
      </w:r>
      <w:r w:rsidRPr="00736F23">
        <w:noBreakHyphen/>
        <w:t>HELP balance to be re</w:t>
      </w:r>
      <w:r w:rsidRPr="00736F23">
        <w:noBreakHyphen/>
        <w:t>credited under section 71 of the Act because:</w:t>
      </w:r>
    </w:p>
    <w:p w14:paraId="69FC7634" w14:textId="4CEFBD79" w:rsidR="00983AE6" w:rsidRPr="00736F23" w:rsidRDefault="00983AE6" w:rsidP="00A0727A">
      <w:pPr>
        <w:pStyle w:val="ListBullet2"/>
        <w:numPr>
          <w:ilvl w:val="1"/>
          <w:numId w:val="45"/>
        </w:numPr>
      </w:pPr>
      <w:r w:rsidRPr="00736F23">
        <w:t xml:space="preserve">the provider, or a person acting on the provider’s behalf, engaged in </w:t>
      </w:r>
      <w:r w:rsidR="00E92C3E">
        <w:t>unacceptable conduct</w:t>
      </w:r>
      <w:r w:rsidRPr="00736F23">
        <w:t xml:space="preserve"> in relation to the student’s application for the VET student loan</w:t>
      </w:r>
      <w:r>
        <w:t>,</w:t>
      </w:r>
      <w:r w:rsidRPr="00736F23">
        <w:t xml:space="preserve"> or</w:t>
      </w:r>
    </w:p>
    <w:p w14:paraId="154FA25A" w14:textId="77777777" w:rsidR="00983AE6" w:rsidRPr="00736F23" w:rsidRDefault="00983AE6" w:rsidP="00A0727A">
      <w:pPr>
        <w:pStyle w:val="ListBullet2"/>
        <w:numPr>
          <w:ilvl w:val="1"/>
          <w:numId w:val="45"/>
        </w:numPr>
      </w:pPr>
      <w:r w:rsidRPr="00736F23">
        <w:t>the provider has failed to comply with the Act or an instrument under the Act and the failure has adversely affected the student</w:t>
      </w:r>
    </w:p>
    <w:p w14:paraId="2B141B08" w14:textId="77777777" w:rsidR="00983AE6" w:rsidRPr="00736F23" w:rsidRDefault="00983AE6" w:rsidP="00A0727A">
      <w:pPr>
        <w:pStyle w:val="ListBullet"/>
        <w:numPr>
          <w:ilvl w:val="0"/>
          <w:numId w:val="74"/>
        </w:numPr>
      </w:pPr>
      <w:r w:rsidRPr="00736F23">
        <w:t>that special circumstances are circumstances that are beyond the student’s control; do not make their full impact on the student until on or after the census day for a course, or the part of a course; and make it impracticable for the student to complete the requirements for the course, or the part of the course, during the student’s enrolment in the course, or the part of the course</w:t>
      </w:r>
    </w:p>
    <w:p w14:paraId="3D5DCE8F" w14:textId="77777777" w:rsidR="00983AE6" w:rsidRPr="00736F23" w:rsidRDefault="00983AE6" w:rsidP="00A0727A">
      <w:pPr>
        <w:pStyle w:val="ListBullet"/>
        <w:numPr>
          <w:ilvl w:val="0"/>
          <w:numId w:val="74"/>
        </w:numPr>
      </w:pPr>
      <w:r w:rsidRPr="00736F23">
        <w:t>that applications for re</w:t>
      </w:r>
      <w:r w:rsidRPr="00736F23">
        <w:noBreakHyphen/>
        <w:t>crediting under section 68 of the Act must be made within 12 months after the census day for the course, or the part of the course, concerned, or within that period as extended by the provider</w:t>
      </w:r>
    </w:p>
    <w:p w14:paraId="52CA16D2" w14:textId="77777777" w:rsidR="00983AE6" w:rsidRPr="00736F23" w:rsidRDefault="00983AE6" w:rsidP="00A0727A">
      <w:pPr>
        <w:pStyle w:val="ListBullet"/>
        <w:numPr>
          <w:ilvl w:val="0"/>
          <w:numId w:val="74"/>
        </w:numPr>
      </w:pPr>
      <w:r w:rsidRPr="00736F23">
        <w:t>that applications for re</w:t>
      </w:r>
      <w:r w:rsidRPr="00736F23">
        <w:noBreakHyphen/>
        <w:t xml:space="preserve">crediting under section 71 of the Act must be made within </w:t>
      </w:r>
      <w:r>
        <w:t>5 years</w:t>
      </w:r>
      <w:r w:rsidRPr="00736F23">
        <w:t xml:space="preserve"> after the census day for the course, or th</w:t>
      </w:r>
      <w:r>
        <w:t xml:space="preserve">e part of the course, concerned </w:t>
      </w:r>
      <w:r w:rsidRPr="00736F23">
        <w:t>or within that period as extended by the Secretary</w:t>
      </w:r>
      <w:r>
        <w:t xml:space="preserve"> </w:t>
      </w:r>
    </w:p>
    <w:p w14:paraId="2DDA4C15" w14:textId="77777777" w:rsidR="00983AE6" w:rsidRPr="00736F23" w:rsidRDefault="00983AE6" w:rsidP="00A0727A">
      <w:pPr>
        <w:pStyle w:val="ListBullet"/>
        <w:numPr>
          <w:ilvl w:val="0"/>
          <w:numId w:val="74"/>
        </w:numPr>
      </w:pPr>
      <w:r w:rsidRPr="00736F23">
        <w:t>the processes available to students in relation to reconsideration and review of decisions whether or not to re</w:t>
      </w:r>
      <w:r w:rsidRPr="00736F23">
        <w:noBreakHyphen/>
        <w:t>credit FEE</w:t>
      </w:r>
      <w:r w:rsidRPr="00736F23">
        <w:noBreakHyphen/>
        <w:t>HELP balances</w:t>
      </w:r>
      <w:r>
        <w:t xml:space="preserve">, including relevant time limits that apply (see </w:t>
      </w:r>
      <w:hyperlink w:anchor="_Appendix_E_–_1" w:history="1">
        <w:r w:rsidRPr="00F414B8">
          <w:rPr>
            <w:rStyle w:val="Hyperlink"/>
          </w:rPr>
          <w:t>Appendix E</w:t>
        </w:r>
      </w:hyperlink>
      <w:r>
        <w:t>)</w:t>
      </w:r>
    </w:p>
    <w:p w14:paraId="0E16440D" w14:textId="62EEED1B" w:rsidR="00E92C3E" w:rsidRDefault="00983AE6" w:rsidP="00A0727A">
      <w:pPr>
        <w:pStyle w:val="ListBullet"/>
        <w:numPr>
          <w:ilvl w:val="0"/>
          <w:numId w:val="74"/>
        </w:numPr>
      </w:pPr>
      <w:r w:rsidRPr="00736F23">
        <w:t>that there is no charge for reconsideration or review of decisions, other than review by the Administrative Appeals Tribunal (AAT)</w:t>
      </w:r>
    </w:p>
    <w:p w14:paraId="5A7AE199" w14:textId="6B0A485A" w:rsidR="00E92C3E" w:rsidRDefault="00983AE6" w:rsidP="00A0727A">
      <w:pPr>
        <w:pStyle w:val="ListBullet"/>
        <w:numPr>
          <w:ilvl w:val="0"/>
          <w:numId w:val="74"/>
        </w:numPr>
      </w:pPr>
      <w:r w:rsidRPr="00736F23">
        <w:t xml:space="preserve">that the Secretary </w:t>
      </w:r>
      <w:r>
        <w:t xml:space="preserve">of the Department of Education and Training </w:t>
      </w:r>
      <w:r w:rsidRPr="00736F23">
        <w:t>may re</w:t>
      </w:r>
      <w:r w:rsidRPr="00736F23">
        <w:noBreakHyphen/>
        <w:t>credit a student’s FEE</w:t>
      </w:r>
      <w:r w:rsidRPr="00736F23">
        <w:noBreakHyphen/>
        <w:t>HELP balance in relation to special circumstances if a</w:t>
      </w:r>
      <w:r>
        <w:t>n approved</w:t>
      </w:r>
      <w:r w:rsidRPr="00736F23">
        <w:t xml:space="preserve"> course provider is unable to act or is being wound up or has been dissolved; or has failed to act and the Secretary is satisfied that the failure is unreasonable</w:t>
      </w:r>
      <w:r w:rsidRPr="0011252B">
        <w:t>.</w:t>
      </w:r>
      <w:bookmarkStart w:id="2700" w:name="_Toc481505266"/>
      <w:bookmarkStart w:id="2701" w:name="_Toc483209581"/>
      <w:bookmarkStart w:id="2702" w:name="_Toc483222910"/>
    </w:p>
    <w:p w14:paraId="2F24A94C" w14:textId="5FD3C6B4" w:rsidR="00983AE6" w:rsidRPr="008D79DC" w:rsidRDefault="00983AE6" w:rsidP="008D79DC">
      <w:pPr>
        <w:pStyle w:val="Heading5"/>
      </w:pPr>
      <w:r w:rsidRPr="008D79DC">
        <w:t>Re-crediting by provider for special circumstances</w:t>
      </w:r>
      <w:bookmarkEnd w:id="2700"/>
      <w:bookmarkEnd w:id="2701"/>
      <w:bookmarkEnd w:id="2702"/>
    </w:p>
    <w:p w14:paraId="2C7F92B7" w14:textId="3985F5AA" w:rsidR="00983AE6" w:rsidRPr="00736F23" w:rsidRDefault="00EE3D47" w:rsidP="00983AE6">
      <w:r>
        <w:t>Section 68</w:t>
      </w:r>
      <w:r w:rsidR="00983AE6" w:rsidRPr="00736F23">
        <w:t xml:space="preserve"> of the Act provides for re-crediting of a student’s FEE</w:t>
      </w:r>
      <w:r w:rsidR="00983AE6" w:rsidRPr="00736F23">
        <w:noBreakHyphen/>
        <w:t xml:space="preserve">HELP balance by a provider on behalf of the Secretary in </w:t>
      </w:r>
      <w:hyperlink w:anchor="_Special_circumstances_beyond" w:history="1">
        <w:r w:rsidR="00983AE6" w:rsidRPr="00910800">
          <w:rPr>
            <w:rStyle w:val="Hyperlink"/>
          </w:rPr>
          <w:t>special circumstances</w:t>
        </w:r>
      </w:hyperlink>
      <w:r w:rsidR="00983AE6" w:rsidRPr="00736F23">
        <w:t>.</w:t>
      </w:r>
    </w:p>
    <w:p w14:paraId="352C429C" w14:textId="77777777" w:rsidR="00983AE6" w:rsidRDefault="00983AE6" w:rsidP="00983AE6">
      <w:r w:rsidRPr="00736F23">
        <w:t>Where the provider is satisfied that special circumstances apply, the provider must re-credit the person’s FEE</w:t>
      </w:r>
      <w:r w:rsidRPr="00736F23">
        <w:noBreakHyphen/>
        <w:t xml:space="preserve">HELP balance with an amount equal to the VET student loan that has been used to pay </w:t>
      </w:r>
      <w:r>
        <w:t xml:space="preserve">the </w:t>
      </w:r>
      <w:r w:rsidRPr="00736F23">
        <w:t>tuition fees</w:t>
      </w:r>
      <w:r>
        <w:t xml:space="preserve"> for the course or part of the course</w:t>
      </w:r>
      <w:r w:rsidRPr="00736F23">
        <w:rPr>
          <w:sz w:val="20"/>
        </w:rPr>
        <w:t xml:space="preserve"> </w:t>
      </w:r>
      <w:r w:rsidRPr="00F414B8">
        <w:rPr>
          <w:rStyle w:val="ReferenceChar"/>
        </w:rPr>
        <w:t>[Act s 68]</w:t>
      </w:r>
      <w:r w:rsidRPr="00736F23">
        <w:t xml:space="preserve">. </w:t>
      </w:r>
    </w:p>
    <w:p w14:paraId="7E042320" w14:textId="77777777" w:rsidR="00983AE6" w:rsidRDefault="00983AE6" w:rsidP="00983AE6">
      <w:r>
        <w:t>A course provider must, on the Secretary’s behalf, re-credit a student’s FEE-HELP balance if:</w:t>
      </w:r>
    </w:p>
    <w:p w14:paraId="7FC47543" w14:textId="77777777" w:rsidR="00983AE6" w:rsidRDefault="00983AE6" w:rsidP="00A0727A">
      <w:pPr>
        <w:pStyle w:val="ListBullet"/>
        <w:numPr>
          <w:ilvl w:val="0"/>
          <w:numId w:val="74"/>
        </w:numPr>
      </w:pPr>
      <w:r>
        <w:t>the student applies to the provider in writing for the re-credit, and</w:t>
      </w:r>
    </w:p>
    <w:p w14:paraId="2ED3883F" w14:textId="77777777" w:rsidR="00983AE6" w:rsidRDefault="00983AE6" w:rsidP="00A0727A">
      <w:pPr>
        <w:pStyle w:val="ListBullet"/>
        <w:numPr>
          <w:ilvl w:val="0"/>
          <w:numId w:val="74"/>
        </w:numPr>
      </w:pPr>
      <w:r>
        <w:t>the application is made:</w:t>
      </w:r>
    </w:p>
    <w:p w14:paraId="041EAAF0" w14:textId="77777777" w:rsidR="00983AE6" w:rsidRDefault="00983AE6" w:rsidP="00A0727A">
      <w:pPr>
        <w:pStyle w:val="ListBullet2"/>
        <w:numPr>
          <w:ilvl w:val="1"/>
          <w:numId w:val="46"/>
        </w:numPr>
      </w:pPr>
      <w:r>
        <w:t xml:space="preserve">within 12 months after the census day for the course, or the part of the course, or </w:t>
      </w:r>
    </w:p>
    <w:p w14:paraId="279068B2" w14:textId="77777777" w:rsidR="00983AE6" w:rsidRDefault="00983AE6" w:rsidP="00A0727A">
      <w:pPr>
        <w:pStyle w:val="ListBullet2"/>
        <w:numPr>
          <w:ilvl w:val="1"/>
          <w:numId w:val="46"/>
        </w:numPr>
      </w:pPr>
      <w:r>
        <w:t>within such longer period for the application as allowed by the provider, and</w:t>
      </w:r>
    </w:p>
    <w:p w14:paraId="6A0D2E48" w14:textId="77777777" w:rsidR="00983AE6" w:rsidRDefault="00983AE6" w:rsidP="00A0727A">
      <w:pPr>
        <w:pStyle w:val="ListBullet"/>
        <w:numPr>
          <w:ilvl w:val="0"/>
          <w:numId w:val="74"/>
        </w:numPr>
      </w:pPr>
      <w:r>
        <w:t>the provider is satisfied that “special circumstances” prevented, or will prevent, the student from completing the requirements of the course or the part of the course.</w:t>
      </w:r>
    </w:p>
    <w:p w14:paraId="16B57426" w14:textId="77777777" w:rsidR="00983AE6" w:rsidRDefault="00983AE6" w:rsidP="00983AE6">
      <w:r w:rsidRPr="00E74A9C">
        <w:t xml:space="preserve">Where a provider allows a person to defer completion of their studies regarding a course, or part of a course, the 12-month </w:t>
      </w:r>
      <w:r>
        <w:t xml:space="preserve">application </w:t>
      </w:r>
      <w:r w:rsidRPr="00E74A9C">
        <w:t>period applies from the end of the extended period for the course.</w:t>
      </w:r>
    </w:p>
    <w:p w14:paraId="4A35902C" w14:textId="77777777" w:rsidR="00983AE6" w:rsidRPr="00736F23" w:rsidRDefault="00983AE6" w:rsidP="00983AE6">
      <w:r w:rsidRPr="00091301">
        <w:lastRenderedPageBreak/>
        <w:t xml:space="preserve">A provider has the discretion to refund any other payments the person made in respect of the course in line with its own policies, which should be accessible to the student. It is open to providers to use the ‘special circumstances test’ in deciding whether to refund a student’s upfront payment. </w:t>
      </w:r>
    </w:p>
    <w:p w14:paraId="163D8C59" w14:textId="77777777" w:rsidR="00983AE6" w:rsidRPr="008D79DC" w:rsidRDefault="00983AE6" w:rsidP="008D79DC">
      <w:pPr>
        <w:pStyle w:val="Heading5"/>
      </w:pPr>
      <w:bookmarkStart w:id="2703" w:name="_Meaning_of_‘special"/>
      <w:bookmarkStart w:id="2704" w:name="_Toc481505267"/>
      <w:bookmarkStart w:id="2705" w:name="_Toc483209582"/>
      <w:bookmarkStart w:id="2706" w:name="_Toc483222911"/>
      <w:bookmarkEnd w:id="2703"/>
      <w:r w:rsidRPr="008D79DC">
        <w:t>Meaning of ‘special circumstances’</w:t>
      </w:r>
      <w:bookmarkEnd w:id="2704"/>
      <w:bookmarkEnd w:id="2705"/>
      <w:bookmarkEnd w:id="2706"/>
    </w:p>
    <w:p w14:paraId="523DFCA9" w14:textId="77777777" w:rsidR="00983AE6" w:rsidRPr="00736F23" w:rsidRDefault="00983AE6" w:rsidP="00983AE6">
      <w:r w:rsidRPr="00736F23">
        <w:t xml:space="preserve">Circumstances are special circumstances </w:t>
      </w:r>
      <w:r>
        <w:t>under</w:t>
      </w:r>
      <w:r w:rsidRPr="00736F23">
        <w:t xml:space="preserve"> the Act, if a student can demonstrate to the satisfaction of the provider that the circumstances were</w:t>
      </w:r>
      <w:r>
        <w:t xml:space="preserve"> </w:t>
      </w:r>
      <w:r w:rsidRPr="00322F3C">
        <w:rPr>
          <w:rStyle w:val="ReferenceChar"/>
        </w:rPr>
        <w:t>[Act s 68]</w:t>
      </w:r>
      <w:r w:rsidRPr="00736F23">
        <w:t>:</w:t>
      </w:r>
    </w:p>
    <w:p w14:paraId="2F12C06E" w14:textId="77777777" w:rsidR="00983AE6" w:rsidRPr="00736F23" w:rsidRDefault="00983AE6" w:rsidP="00A0727A">
      <w:pPr>
        <w:pStyle w:val="ListBullet"/>
        <w:numPr>
          <w:ilvl w:val="0"/>
          <w:numId w:val="74"/>
        </w:numPr>
      </w:pPr>
      <w:r w:rsidRPr="00736F23">
        <w:t>beyond the student’s control and</w:t>
      </w:r>
    </w:p>
    <w:p w14:paraId="7D6CF80D" w14:textId="77777777" w:rsidR="00983AE6" w:rsidRPr="00736F23" w:rsidRDefault="00983AE6" w:rsidP="00A0727A">
      <w:pPr>
        <w:pStyle w:val="ListBullet"/>
        <w:numPr>
          <w:ilvl w:val="0"/>
          <w:numId w:val="74"/>
        </w:numPr>
      </w:pPr>
      <w:r w:rsidRPr="00736F23">
        <w:t xml:space="preserve">did not make their full impact on the </w:t>
      </w:r>
      <w:r>
        <w:t>student</w:t>
      </w:r>
      <w:r w:rsidRPr="00736F23">
        <w:t xml:space="preserve"> until on, or after, the census da</w:t>
      </w:r>
      <w:r>
        <w:t>y</w:t>
      </w:r>
      <w:r w:rsidRPr="00736F23">
        <w:t xml:space="preserve"> for the </w:t>
      </w:r>
      <w:r>
        <w:t>course, or the part of the course,</w:t>
      </w:r>
      <w:r w:rsidRPr="00736F23">
        <w:t xml:space="preserve"> and</w:t>
      </w:r>
    </w:p>
    <w:p w14:paraId="5874FE7C" w14:textId="77777777" w:rsidR="00983AE6" w:rsidRPr="00736F23" w:rsidRDefault="00983AE6" w:rsidP="00A0727A">
      <w:pPr>
        <w:pStyle w:val="ListBullet"/>
        <w:numPr>
          <w:ilvl w:val="0"/>
          <w:numId w:val="74"/>
        </w:numPr>
      </w:pPr>
      <w:r w:rsidRPr="00736F23">
        <w:t xml:space="preserve">made it impracticable for the </w:t>
      </w:r>
      <w:r>
        <w:t>student</w:t>
      </w:r>
      <w:r w:rsidRPr="00736F23">
        <w:t xml:space="preserve"> to complete the requirements for the course, or part of the course, during the student’s enrolment.</w:t>
      </w:r>
    </w:p>
    <w:p w14:paraId="1B53CD51" w14:textId="77777777" w:rsidR="00983AE6" w:rsidRPr="00A106F8" w:rsidRDefault="00983AE6" w:rsidP="008D79DC">
      <w:pPr>
        <w:pStyle w:val="Heading5"/>
      </w:pPr>
      <w:bookmarkStart w:id="2707" w:name="_Special_circumstances_beyond"/>
      <w:bookmarkEnd w:id="2707"/>
      <w:r w:rsidRPr="00A106F8">
        <w:t>Special circumstances beyond a person’s control</w:t>
      </w:r>
    </w:p>
    <w:p w14:paraId="78F84FF9" w14:textId="77777777" w:rsidR="00983AE6" w:rsidRPr="00736F23" w:rsidRDefault="00983AE6" w:rsidP="00983AE6">
      <w:r>
        <w:t>E</w:t>
      </w:r>
      <w:r w:rsidRPr="00736F23">
        <w:t>xample</w:t>
      </w:r>
      <w:r>
        <w:t xml:space="preserve">s of circumstances that may be considered beyond a person’s control might include </w:t>
      </w:r>
      <w:r w:rsidRPr="00736F23">
        <w:t xml:space="preserve">a motor vehicle accident or </w:t>
      </w:r>
      <w:r>
        <w:t>the worsening</w:t>
      </w:r>
      <w:r w:rsidRPr="00736F23">
        <w:t xml:space="preserve"> of a serious illness may meet the criteria.</w:t>
      </w:r>
    </w:p>
    <w:p w14:paraId="69210275" w14:textId="77777777" w:rsidR="00983AE6" w:rsidRPr="00A106F8" w:rsidRDefault="00983AE6" w:rsidP="008D79DC">
      <w:pPr>
        <w:pStyle w:val="Heading5"/>
      </w:pPr>
      <w:r w:rsidRPr="00A106F8">
        <w:t>Special circumstances that do not make full impact until on or after the census date</w:t>
      </w:r>
    </w:p>
    <w:p w14:paraId="32683E36" w14:textId="77777777" w:rsidR="00983AE6" w:rsidRPr="00736F23" w:rsidRDefault="00983AE6" w:rsidP="00983AE6">
      <w:r w:rsidRPr="00736F23">
        <w:t>Circumstances could be considered not to make their full impact on the person until on or after the census da</w:t>
      </w:r>
      <w:r>
        <w:t>y</w:t>
      </w:r>
      <w:r w:rsidRPr="00736F23">
        <w:t xml:space="preserve"> for the VET unit of study if the person’s circumstances occurred:</w:t>
      </w:r>
    </w:p>
    <w:p w14:paraId="6427732F" w14:textId="77777777" w:rsidR="00983AE6" w:rsidRPr="00736F23" w:rsidRDefault="00983AE6" w:rsidP="00A0727A">
      <w:pPr>
        <w:pStyle w:val="ListBullet"/>
        <w:numPr>
          <w:ilvl w:val="0"/>
          <w:numId w:val="74"/>
        </w:numPr>
      </w:pPr>
      <w:r w:rsidRPr="00736F23">
        <w:t>before the census da</w:t>
      </w:r>
      <w:r>
        <w:t>y</w:t>
      </w:r>
      <w:r w:rsidRPr="00736F23">
        <w:t>, but worsen after that day</w:t>
      </w:r>
    </w:p>
    <w:p w14:paraId="587ABC8C" w14:textId="25E48CCA" w:rsidR="00983AE6" w:rsidRPr="00736F23" w:rsidRDefault="00983AE6" w:rsidP="00A0727A">
      <w:pPr>
        <w:pStyle w:val="ListBullet"/>
        <w:numPr>
          <w:ilvl w:val="0"/>
          <w:numId w:val="74"/>
        </w:numPr>
      </w:pPr>
      <w:r w:rsidRPr="00736F23">
        <w:t>before the census da</w:t>
      </w:r>
      <w:r>
        <w:t>y</w:t>
      </w:r>
      <w:r w:rsidRPr="00736F23">
        <w:t>, but the full effect or magnitude did not become apparent until after that day</w:t>
      </w:r>
      <w:r w:rsidR="00AF4156">
        <w:t>;</w:t>
      </w:r>
      <w:r w:rsidRPr="00736F23">
        <w:t xml:space="preserve"> or</w:t>
      </w:r>
    </w:p>
    <w:p w14:paraId="77A024F7" w14:textId="77777777" w:rsidR="00983AE6" w:rsidRPr="00736F23" w:rsidRDefault="00983AE6" w:rsidP="00A0727A">
      <w:pPr>
        <w:pStyle w:val="ListBullet"/>
        <w:numPr>
          <w:ilvl w:val="0"/>
          <w:numId w:val="74"/>
        </w:numPr>
      </w:pPr>
      <w:r w:rsidRPr="00736F23">
        <w:t>on or after the census da</w:t>
      </w:r>
      <w:r>
        <w:t>y</w:t>
      </w:r>
      <w:r w:rsidRPr="00736F23">
        <w:t>.</w:t>
      </w:r>
    </w:p>
    <w:p w14:paraId="55B71D54" w14:textId="77777777" w:rsidR="00983AE6" w:rsidRPr="00736F23" w:rsidRDefault="00983AE6" w:rsidP="00983AE6">
      <w:r w:rsidRPr="00736F23">
        <w:t>Students do not need to demonstrate they were unable to withdraw from the course prior to the census da</w:t>
      </w:r>
      <w:r>
        <w:t>y</w:t>
      </w:r>
      <w:r w:rsidRPr="00736F23">
        <w:t>.</w:t>
      </w:r>
    </w:p>
    <w:p w14:paraId="6CECF442" w14:textId="77777777" w:rsidR="00983AE6" w:rsidRPr="00A106F8" w:rsidRDefault="00983AE6" w:rsidP="00D373A3">
      <w:pPr>
        <w:pStyle w:val="Heading5"/>
      </w:pPr>
      <w:r w:rsidRPr="00A106F8">
        <w:t>Special circumstances arising from pre-existing conditions</w:t>
      </w:r>
    </w:p>
    <w:p w14:paraId="59637286" w14:textId="77777777" w:rsidR="00983AE6" w:rsidRPr="00736F23" w:rsidRDefault="00983AE6" w:rsidP="00983AE6">
      <w:r w:rsidRPr="00736F23">
        <w:t>A circumstance that first occurred before the census da</w:t>
      </w:r>
      <w:r>
        <w:t>y</w:t>
      </w:r>
      <w:r w:rsidRPr="00736F23">
        <w:t xml:space="preserve"> may satisfy the special circumstances requirement where it worsens after that day or the full effect or magnitude does not become apparent until after that day.</w:t>
      </w:r>
    </w:p>
    <w:p w14:paraId="572D63E8" w14:textId="77777777" w:rsidR="00983AE6" w:rsidRPr="00736F23" w:rsidRDefault="00983AE6" w:rsidP="00983AE6">
      <w:r w:rsidRPr="00736F23">
        <w:t>For example, a person may have an illness or other underlying, pre</w:t>
      </w:r>
      <w:r w:rsidRPr="00736F23">
        <w:rPr>
          <w:rFonts w:ascii="Cambria Math" w:hAnsi="Cambria Math" w:cs="Cambria Math"/>
        </w:rPr>
        <w:t>‐</w:t>
      </w:r>
      <w:r w:rsidRPr="00736F23">
        <w:t>existing condition or incapacity prior to the census da</w:t>
      </w:r>
      <w:r>
        <w:t>y</w:t>
      </w:r>
      <w:r w:rsidRPr="00736F23">
        <w:t xml:space="preserve"> for a course, but that condition may worsen, or th</w:t>
      </w:r>
      <w:r>
        <w:t>e</w:t>
      </w:r>
      <w:r w:rsidRPr="00736F23">
        <w:t xml:space="preserve"> person may suffer from an aggravation, deterioration or </w:t>
      </w:r>
      <w:r>
        <w:t xml:space="preserve">serious </w:t>
      </w:r>
      <w:r w:rsidRPr="00736F23">
        <w:t>episode, after the census date.</w:t>
      </w:r>
    </w:p>
    <w:p w14:paraId="035EA456" w14:textId="77777777" w:rsidR="00983AE6" w:rsidRPr="00736F23" w:rsidRDefault="00983AE6" w:rsidP="00983AE6">
      <w:r w:rsidRPr="00736F23">
        <w:t>Alternatively, the full implications of a person’s condition may not have been apparent until after the census da</w:t>
      </w:r>
      <w:r>
        <w:t>y</w:t>
      </w:r>
      <w:r w:rsidRPr="00736F23">
        <w:t xml:space="preserve">. This may be because recovery does not go to plan, or the degree of disability or incapacity for study </w:t>
      </w:r>
      <w:r>
        <w:t>is</w:t>
      </w:r>
      <w:r w:rsidRPr="00736F23">
        <w:t xml:space="preserve"> not fully realised until after the census da</w:t>
      </w:r>
      <w:r>
        <w:t>y</w:t>
      </w:r>
      <w:r w:rsidRPr="00736F23">
        <w:t>.</w:t>
      </w:r>
    </w:p>
    <w:p w14:paraId="60D31DAE" w14:textId="77777777" w:rsidR="00983AE6" w:rsidRPr="00736F23" w:rsidRDefault="00983AE6" w:rsidP="00983AE6">
      <w:r w:rsidRPr="00736F23">
        <w:t>The provider must consider whether the person’s circumstances changed on or after the census da</w:t>
      </w:r>
      <w:r>
        <w:t>y</w:t>
      </w:r>
      <w:r w:rsidRPr="00736F23">
        <w:t xml:space="preserve"> and when the full effect or magnitude of the circumstances became apparent, taking into account any additional circumstances, including continuation of a pre</w:t>
      </w:r>
      <w:r w:rsidRPr="00736F23">
        <w:rPr>
          <w:rFonts w:ascii="Cambria Math" w:hAnsi="Cambria Math" w:cs="Cambria Math"/>
        </w:rPr>
        <w:t>‐</w:t>
      </w:r>
      <w:r w:rsidRPr="00736F23">
        <w:t>existing condition that may have affected the person on or after the census da</w:t>
      </w:r>
      <w:r>
        <w:t>y</w:t>
      </w:r>
      <w:r w:rsidRPr="00736F23">
        <w:t>.</w:t>
      </w:r>
    </w:p>
    <w:p w14:paraId="1E267D05" w14:textId="77777777" w:rsidR="00983AE6" w:rsidRPr="00A106F8" w:rsidRDefault="00983AE6" w:rsidP="00D373A3">
      <w:pPr>
        <w:pStyle w:val="Heading5"/>
      </w:pPr>
      <w:r w:rsidRPr="00A106F8">
        <w:t>Circumstances that made it impracticable to complete a course</w:t>
      </w:r>
    </w:p>
    <w:p w14:paraId="4596F65E" w14:textId="77777777" w:rsidR="00983AE6" w:rsidRPr="00736F23" w:rsidRDefault="00983AE6" w:rsidP="00983AE6">
      <w:r w:rsidRPr="00736F23">
        <w:t xml:space="preserve">The term </w:t>
      </w:r>
      <w:r>
        <w:t>‘</w:t>
      </w:r>
      <w:r w:rsidRPr="00736F23">
        <w:t>impracticable</w:t>
      </w:r>
      <w:r>
        <w:t>’</w:t>
      </w:r>
      <w:r w:rsidRPr="00736F23">
        <w:t xml:space="preserve"> is defined as ‘not practicable, that which cannot be put into practice with the available means’. The provider should keep this definition in mind when deciding whether a student’s circumstances made it impracticable for them to complete a course, or part of a course.</w:t>
      </w:r>
      <w:r>
        <w:t xml:space="preserve"> </w:t>
      </w:r>
      <w:r w:rsidRPr="00736F23">
        <w:t>In considering whether circumstances are special circumstance</w:t>
      </w:r>
      <w:r>
        <w:t>s</w:t>
      </w:r>
      <w:r w:rsidRPr="00736F23">
        <w:t xml:space="preserve"> because they make it impracticable for the student </w:t>
      </w:r>
      <w:r w:rsidRPr="00736F23">
        <w:lastRenderedPageBreak/>
        <w:t>to complete the requirement</w:t>
      </w:r>
      <w:r>
        <w:t>s</w:t>
      </w:r>
      <w:r w:rsidRPr="00736F23">
        <w:t xml:space="preserve"> of the course, or part of the course, during the student’s enrolment, the provider must consider:</w:t>
      </w:r>
    </w:p>
    <w:p w14:paraId="4B764DEA" w14:textId="77777777" w:rsidR="00983AE6" w:rsidRPr="00736F23" w:rsidRDefault="00983AE6" w:rsidP="00A0727A">
      <w:pPr>
        <w:pStyle w:val="ListBullet"/>
        <w:numPr>
          <w:ilvl w:val="0"/>
          <w:numId w:val="74"/>
        </w:numPr>
      </w:pPr>
      <w:r w:rsidRPr="00736F23">
        <w:t>whether the student could do eno</w:t>
      </w:r>
      <w:r>
        <w:t>ugh private study,</w:t>
      </w:r>
      <w:r w:rsidRPr="00736F23">
        <w:t xml:space="preserve"> </w:t>
      </w:r>
      <w:r>
        <w:t xml:space="preserve">or attend training sessions and other activities, or engage online, </w:t>
      </w:r>
      <w:r w:rsidRPr="00736F23">
        <w:t xml:space="preserve">to meet course requirements </w:t>
      </w:r>
    </w:p>
    <w:p w14:paraId="1497D4B7" w14:textId="77777777" w:rsidR="00983AE6" w:rsidRPr="00736F23" w:rsidRDefault="00983AE6" w:rsidP="00A0727A">
      <w:pPr>
        <w:pStyle w:val="ListBullet"/>
        <w:numPr>
          <w:ilvl w:val="0"/>
          <w:numId w:val="74"/>
        </w:numPr>
      </w:pPr>
      <w:r w:rsidRPr="00736F23">
        <w:t>whether the student could complete any required assessable work, or demonstrate competencies required</w:t>
      </w:r>
      <w:r>
        <w:t>,</w:t>
      </w:r>
      <w:r w:rsidRPr="00736F23">
        <w:t xml:space="preserve"> and</w:t>
      </w:r>
    </w:p>
    <w:p w14:paraId="1FC827A1" w14:textId="77777777" w:rsidR="00983AE6" w:rsidRPr="00736F23" w:rsidRDefault="00983AE6" w:rsidP="00A0727A">
      <w:pPr>
        <w:pStyle w:val="ListBullet"/>
        <w:numPr>
          <w:ilvl w:val="0"/>
          <w:numId w:val="74"/>
        </w:numPr>
      </w:pPr>
      <w:r w:rsidRPr="00736F23">
        <w:t xml:space="preserve">whether the student could complete any other requirements arising from the student’s inability to do the above </w:t>
      </w:r>
      <w:r w:rsidRPr="00F414B8">
        <w:rPr>
          <w:rStyle w:val="ReferenceChar"/>
        </w:rPr>
        <w:t>[Rules s 145]</w:t>
      </w:r>
      <w:r w:rsidRPr="00F414B8">
        <w:t>.</w:t>
      </w:r>
    </w:p>
    <w:p w14:paraId="5CA51956" w14:textId="77777777" w:rsidR="00983AE6" w:rsidRPr="00736F23" w:rsidRDefault="00983AE6" w:rsidP="00983AE6">
      <w:pPr>
        <w:rPr>
          <w:sz w:val="20"/>
          <w:szCs w:val="20"/>
        </w:rPr>
      </w:pPr>
      <w:r w:rsidRPr="00736F23">
        <w:t>Circumstances that make it impracticable for the person to complete the requirements for their course may include</w:t>
      </w:r>
      <w:r>
        <w:t xml:space="preserve"> (among other things)</w:t>
      </w:r>
      <w:r w:rsidRPr="00736F23">
        <w:rPr>
          <w:sz w:val="20"/>
          <w:szCs w:val="20"/>
        </w:rPr>
        <w:t>:</w:t>
      </w:r>
    </w:p>
    <w:p w14:paraId="44C9EDE1" w14:textId="77777777" w:rsidR="00983AE6" w:rsidRPr="00736F23" w:rsidRDefault="00983AE6" w:rsidP="00A0727A">
      <w:pPr>
        <w:pStyle w:val="ListBullet"/>
        <w:numPr>
          <w:ilvl w:val="0"/>
          <w:numId w:val="74"/>
        </w:numPr>
      </w:pPr>
      <w:r w:rsidRPr="00736F23">
        <w:t>medical circumstances</w:t>
      </w:r>
      <w:r>
        <w:t xml:space="preserve"> –</w:t>
      </w:r>
      <w:r w:rsidRPr="00736F23">
        <w:t xml:space="preserve"> for</w:t>
      </w:r>
      <w:r>
        <w:t xml:space="preserve"> </w:t>
      </w:r>
      <w:r w:rsidRPr="00736F23">
        <w:t xml:space="preserve">example where a person’s medical condition has changed to such an extent that he or she is unable to continue studying </w:t>
      </w:r>
    </w:p>
    <w:p w14:paraId="11B7B153" w14:textId="77777777" w:rsidR="00983AE6" w:rsidRPr="00736F23" w:rsidRDefault="00983AE6" w:rsidP="00A0727A">
      <w:pPr>
        <w:pStyle w:val="ListBullet"/>
        <w:numPr>
          <w:ilvl w:val="0"/>
          <w:numId w:val="74"/>
        </w:numPr>
      </w:pPr>
      <w:r w:rsidRPr="00736F23">
        <w:t>family or personal circumstances</w:t>
      </w:r>
      <w:r>
        <w:t xml:space="preserve"> – </w:t>
      </w:r>
      <w:r w:rsidRPr="00736F23">
        <w:t>for</w:t>
      </w:r>
      <w:r>
        <w:t xml:space="preserve"> </w:t>
      </w:r>
      <w:r w:rsidRPr="00736F23">
        <w:t>example death or severe medical problems within a family, or unforeseen family financial difficulties</w:t>
      </w:r>
      <w:r>
        <w:t xml:space="preserve"> which affect the student to such an extent that </w:t>
      </w:r>
      <w:r w:rsidRPr="00736F23">
        <w:t>it is unreasonable to expect a person to continue studies</w:t>
      </w:r>
      <w:r>
        <w:t>,</w:t>
      </w:r>
      <w:r w:rsidRPr="00736F23">
        <w:t xml:space="preserve"> or</w:t>
      </w:r>
    </w:p>
    <w:p w14:paraId="4F1A75CC" w14:textId="77777777" w:rsidR="00983AE6" w:rsidRPr="00736F23" w:rsidRDefault="00983AE6" w:rsidP="00A0727A">
      <w:pPr>
        <w:pStyle w:val="ListBullet"/>
        <w:numPr>
          <w:ilvl w:val="0"/>
          <w:numId w:val="74"/>
        </w:numPr>
      </w:pPr>
      <w:r>
        <w:t xml:space="preserve">the student’s </w:t>
      </w:r>
      <w:r w:rsidRPr="00736F23">
        <w:t>employment related circumstances</w:t>
      </w:r>
      <w:r>
        <w:t xml:space="preserve"> – </w:t>
      </w:r>
      <w:r w:rsidRPr="00736F23">
        <w:t>for</w:t>
      </w:r>
      <w:r>
        <w:t xml:space="preserve"> </w:t>
      </w:r>
      <w:r w:rsidRPr="00736F23">
        <w:t>example where a person’s employment status or arrangements have changed so the person is unable to continue their studies and this change is beyond the person’s contro</w:t>
      </w:r>
      <w:r>
        <w:t xml:space="preserve">l </w:t>
      </w:r>
      <w:r w:rsidRPr="00F414B8">
        <w:rPr>
          <w:rStyle w:val="ReferenceChar"/>
        </w:rPr>
        <w:t>[Rules s 146]</w:t>
      </w:r>
      <w:r w:rsidRPr="00CB2023">
        <w:t>.</w:t>
      </w:r>
    </w:p>
    <w:p w14:paraId="4525F93D" w14:textId="77777777" w:rsidR="00983AE6" w:rsidRPr="00293C00" w:rsidRDefault="00983AE6" w:rsidP="0097191F">
      <w:pPr>
        <w:pStyle w:val="Heading5"/>
      </w:pPr>
      <w:bookmarkStart w:id="2708" w:name="_Toc481505268"/>
      <w:bookmarkStart w:id="2709" w:name="_Toc483209583"/>
      <w:bookmarkStart w:id="2710" w:name="_Toc483222912"/>
      <w:r w:rsidRPr="00293C00">
        <w:t>Requirements for making decisions</w:t>
      </w:r>
      <w:bookmarkEnd w:id="2708"/>
      <w:bookmarkEnd w:id="2709"/>
      <w:bookmarkEnd w:id="2710"/>
    </w:p>
    <w:p w14:paraId="5CD762BD" w14:textId="77777777" w:rsidR="00983AE6" w:rsidRPr="00736F23" w:rsidRDefault="00983AE6" w:rsidP="00983AE6">
      <w:r w:rsidRPr="00736F23">
        <w:t xml:space="preserve">The provider should consider the person’s application as soon as practicable and must notify the person of its decision and the reasons for making the decision </w:t>
      </w:r>
      <w:r w:rsidRPr="00F414B8">
        <w:rPr>
          <w:rStyle w:val="ReferenceChar"/>
        </w:rPr>
        <w:t>[Act s 68(5)]</w:t>
      </w:r>
      <w:r w:rsidRPr="00736F23">
        <w:t>.</w:t>
      </w:r>
    </w:p>
    <w:p w14:paraId="1E35159A" w14:textId="70D199F6" w:rsidR="00AE6128" w:rsidRDefault="00983AE6" w:rsidP="00B907EC">
      <w:r w:rsidRPr="00736F23">
        <w:t xml:space="preserve">Decisions regarding re-crediting a person’s FEE-HELP balance are reviewable </w:t>
      </w:r>
      <w:r w:rsidRPr="00F414B8">
        <w:rPr>
          <w:rStyle w:val="ReferenceChar"/>
        </w:rPr>
        <w:t>[Act s 74]</w:t>
      </w:r>
      <w:r w:rsidRPr="00736F23">
        <w:t>.</w:t>
      </w:r>
      <w:r w:rsidRPr="00736F23">
        <w:rPr>
          <w:color w:val="0070C0"/>
        </w:rPr>
        <w:t xml:space="preserve"> </w:t>
      </w:r>
      <w:r w:rsidRPr="00736F23">
        <w:t xml:space="preserve">The person must be advised the time limit for applying for a review of a decision is 28 days </w:t>
      </w:r>
      <w:r w:rsidR="002B54F5">
        <w:t>after</w:t>
      </w:r>
      <w:r w:rsidR="002B54F5" w:rsidRPr="00736F23">
        <w:t xml:space="preserve"> </w:t>
      </w:r>
      <w:r w:rsidRPr="00736F23">
        <w:t>the d</w:t>
      </w:r>
      <w:r w:rsidR="004C2B5C">
        <w:t xml:space="preserve">ay on which the person was notified of the decision, or within such longer time as the decision maker allows </w:t>
      </w:r>
      <w:r w:rsidR="004C2B5C" w:rsidRPr="00B907EC">
        <w:rPr>
          <w:rStyle w:val="ReferenceChar"/>
        </w:rPr>
        <w:t>[Act</w:t>
      </w:r>
      <w:r w:rsidR="006625F7">
        <w:rPr>
          <w:rStyle w:val="ReferenceChar"/>
        </w:rPr>
        <w:t xml:space="preserve"> </w:t>
      </w:r>
      <w:r w:rsidR="004C2B5C" w:rsidRPr="00B907EC">
        <w:rPr>
          <w:rStyle w:val="ReferenceChar"/>
        </w:rPr>
        <w:t>s</w:t>
      </w:r>
      <w:r w:rsidR="006625F7">
        <w:rPr>
          <w:rStyle w:val="ReferenceChar"/>
        </w:rPr>
        <w:t> </w:t>
      </w:r>
      <w:r w:rsidR="004C2B5C" w:rsidRPr="00B907EC">
        <w:rPr>
          <w:rStyle w:val="ReferenceChar"/>
        </w:rPr>
        <w:t>76(2)]</w:t>
      </w:r>
      <w:r w:rsidR="004C2B5C">
        <w:t>.</w:t>
      </w:r>
    </w:p>
    <w:p w14:paraId="3B660696" w14:textId="77777777" w:rsidR="00983AE6" w:rsidRPr="00E40940" w:rsidRDefault="00983AE6" w:rsidP="0097191F">
      <w:pPr>
        <w:pStyle w:val="Heading5"/>
      </w:pPr>
      <w:bookmarkStart w:id="2711" w:name="_Unacceptable_conduct"/>
      <w:bookmarkStart w:id="2712" w:name="_What_is_‘unacceptable"/>
      <w:bookmarkStart w:id="2713" w:name="_What_is_unconscionable"/>
      <w:bookmarkEnd w:id="2711"/>
      <w:bookmarkEnd w:id="2712"/>
      <w:bookmarkEnd w:id="2713"/>
      <w:r w:rsidRPr="00E40940">
        <w:t>Reviewable decisions</w:t>
      </w:r>
    </w:p>
    <w:p w14:paraId="54177119" w14:textId="43E2ECEE" w:rsidR="00983AE6" w:rsidRDefault="00983AE6" w:rsidP="00983AE6">
      <w:r>
        <w:t xml:space="preserve">Certain decisions in the Act are </w:t>
      </w:r>
      <w:r w:rsidR="00EC1EFA">
        <w:t>‘</w:t>
      </w:r>
      <w:r>
        <w:t>reviewable decisions</w:t>
      </w:r>
      <w:r w:rsidR="002B54F5">
        <w:t>’</w:t>
      </w:r>
      <w:r>
        <w:t>. This means an affected person may request the decision maker to review the decision and apply to the AAT for a review of the reconsidered decision. These decisions are set out at section 74 and are:</w:t>
      </w:r>
    </w:p>
    <w:p w14:paraId="225AA64C" w14:textId="4267B7B6" w:rsidR="00983AE6" w:rsidRDefault="00910800" w:rsidP="00A0727A">
      <w:pPr>
        <w:pStyle w:val="ListBullet"/>
        <w:numPr>
          <w:ilvl w:val="0"/>
          <w:numId w:val="74"/>
        </w:numPr>
      </w:pPr>
      <w:r>
        <w:t>w</w:t>
      </w:r>
      <w:r w:rsidR="00983AE6">
        <w:t>here the Secretary is the decision maker:</w:t>
      </w:r>
    </w:p>
    <w:p w14:paraId="0AAA7FC3" w14:textId="77777777" w:rsidR="00983AE6" w:rsidRDefault="00983AE6" w:rsidP="00A0727A">
      <w:pPr>
        <w:pStyle w:val="ListBullet2"/>
        <w:numPr>
          <w:ilvl w:val="1"/>
          <w:numId w:val="47"/>
        </w:numPr>
      </w:pPr>
      <w:r>
        <w:t>under section 18 – a decision to approve or not approve a VET student loan</w:t>
      </w:r>
    </w:p>
    <w:p w14:paraId="49F420A0" w14:textId="77777777" w:rsidR="00983AE6" w:rsidRDefault="00983AE6" w:rsidP="00A0727A">
      <w:pPr>
        <w:pStyle w:val="ListBullet2"/>
        <w:numPr>
          <w:ilvl w:val="1"/>
          <w:numId w:val="47"/>
        </w:numPr>
      </w:pPr>
      <w:r>
        <w:t>under section 36 – a decision to revoke the approval of an approved course provider</w:t>
      </w:r>
    </w:p>
    <w:p w14:paraId="35946A39" w14:textId="77777777" w:rsidR="00983AE6" w:rsidRDefault="00983AE6" w:rsidP="00A0727A">
      <w:pPr>
        <w:pStyle w:val="ListBullet2"/>
        <w:numPr>
          <w:ilvl w:val="1"/>
          <w:numId w:val="47"/>
        </w:numPr>
      </w:pPr>
      <w:r>
        <w:t>under section 68 – a decision not to re-credit a student’s FEE-HELP balance for special circumstances</w:t>
      </w:r>
    </w:p>
    <w:p w14:paraId="19BBED38" w14:textId="77777777" w:rsidR="00983AE6" w:rsidRDefault="00983AE6" w:rsidP="00A0727A">
      <w:pPr>
        <w:pStyle w:val="ListBullet2"/>
        <w:numPr>
          <w:ilvl w:val="1"/>
          <w:numId w:val="47"/>
        </w:numPr>
      </w:pPr>
      <w:r>
        <w:t>under section 71 – a decision to or not to re-credit a student’s FEE-HELP balance for unacceptable conduct</w:t>
      </w:r>
    </w:p>
    <w:p w14:paraId="59882F05" w14:textId="1FFFA7C5" w:rsidR="00983AE6" w:rsidRDefault="00910800" w:rsidP="00A0727A">
      <w:pPr>
        <w:pStyle w:val="ListBullet"/>
        <w:numPr>
          <w:ilvl w:val="0"/>
          <w:numId w:val="74"/>
        </w:numPr>
      </w:pPr>
      <w:r>
        <w:t>w</w:t>
      </w:r>
      <w:r w:rsidR="00983AE6">
        <w:t>here the course provider is the decision maker:</w:t>
      </w:r>
    </w:p>
    <w:p w14:paraId="5880BD10" w14:textId="77777777" w:rsidR="00983AE6" w:rsidRDefault="00983AE6" w:rsidP="00A0727A">
      <w:pPr>
        <w:pStyle w:val="ListBullet2"/>
        <w:numPr>
          <w:ilvl w:val="1"/>
          <w:numId w:val="48"/>
        </w:numPr>
      </w:pPr>
      <w:r>
        <w:t>under section 68 – a decision not to re-credit a student’s FEE-HELP balance for special circumstances.</w:t>
      </w:r>
    </w:p>
    <w:p w14:paraId="41E8BAD6" w14:textId="2DD40490" w:rsidR="00BA70A8" w:rsidRDefault="00983AE6" w:rsidP="00F84E92">
      <w:r>
        <w:t xml:space="preserve">Where a decision is not a reviewable decision under the Act, the decision maker may still reconsider the decision if satisfied there is sufficient reasons to do so </w:t>
      </w:r>
      <w:r w:rsidRPr="00DE1A51">
        <w:rPr>
          <w:rStyle w:val="ReferenceChar"/>
        </w:rPr>
        <w:t>[Act s 81]</w:t>
      </w:r>
      <w:r>
        <w:t>.</w:t>
      </w:r>
    </w:p>
    <w:p w14:paraId="7B7119A9" w14:textId="77777777" w:rsidR="00983AE6" w:rsidRPr="00AA32B9" w:rsidRDefault="00983AE6" w:rsidP="0097191F">
      <w:pPr>
        <w:pStyle w:val="Heading5"/>
      </w:pPr>
      <w:r>
        <w:t>Provider d</w:t>
      </w:r>
      <w:r w:rsidRPr="00AA32B9">
        <w:t>ecisions regarding re-crediting a student’s FEE-HELP balance</w:t>
      </w:r>
    </w:p>
    <w:p w14:paraId="3CF2690C" w14:textId="77777777" w:rsidR="00983AE6" w:rsidRDefault="00983AE6" w:rsidP="00983AE6">
      <w:pPr>
        <w:rPr>
          <w:sz w:val="20"/>
          <w:szCs w:val="20"/>
        </w:rPr>
      </w:pPr>
      <w:r>
        <w:t>A d</w:t>
      </w:r>
      <w:r w:rsidRPr="00736F23">
        <w:t>ecision</w:t>
      </w:r>
      <w:r>
        <w:t xml:space="preserve"> by a provider not to</w:t>
      </w:r>
      <w:r w:rsidRPr="00736F23">
        <w:t xml:space="preserve"> re-credit a person’s FEE-HELP balance </w:t>
      </w:r>
      <w:r>
        <w:t>is</w:t>
      </w:r>
      <w:r w:rsidRPr="00736F23">
        <w:t xml:space="preserve"> reviewable </w:t>
      </w:r>
      <w:r w:rsidRPr="00DE1A51">
        <w:rPr>
          <w:rStyle w:val="ReferenceChar"/>
        </w:rPr>
        <w:t>[Act s 74]</w:t>
      </w:r>
      <w:r w:rsidRPr="00D76262">
        <w:rPr>
          <w:sz w:val="20"/>
          <w:szCs w:val="20"/>
        </w:rPr>
        <w:t>.</w:t>
      </w:r>
      <w:r w:rsidRPr="00736F23">
        <w:rPr>
          <w:sz w:val="20"/>
          <w:szCs w:val="20"/>
        </w:rPr>
        <w:t xml:space="preserve"> </w:t>
      </w:r>
    </w:p>
    <w:p w14:paraId="3AB4C68E" w14:textId="77777777" w:rsidR="00BA70A8" w:rsidRDefault="00BA70A8" w:rsidP="00983AE6">
      <w:pPr>
        <w:rPr>
          <w:sz w:val="20"/>
          <w:szCs w:val="20"/>
        </w:rPr>
      </w:pPr>
      <w:r>
        <w:lastRenderedPageBreak/>
        <w:t xml:space="preserve">Please see the </w:t>
      </w:r>
      <w:hyperlink w:anchor="Review_procedure_flowchart" w:history="1">
        <w:r w:rsidRPr="00D72951">
          <w:rPr>
            <w:rStyle w:val="Hyperlink"/>
          </w:rPr>
          <w:t>Review procedure flowchart</w:t>
        </w:r>
      </w:hyperlink>
      <w:r>
        <w:t xml:space="preserve"> for an illustration of</w:t>
      </w:r>
      <w:r w:rsidR="00D72951">
        <w:t xml:space="preserve"> the information provided below</w:t>
      </w:r>
      <w:r>
        <w:t>.</w:t>
      </w:r>
    </w:p>
    <w:p w14:paraId="4431FD38" w14:textId="77777777" w:rsidR="00983AE6" w:rsidRPr="00736F23" w:rsidRDefault="00983AE6" w:rsidP="00983AE6">
      <w:r w:rsidRPr="00736F23">
        <w:t xml:space="preserve">A review of a decision may be requested by the person affected by the original decision </w:t>
      </w:r>
      <w:r w:rsidRPr="00F502FC">
        <w:rPr>
          <w:rStyle w:val="ReferenceChar"/>
        </w:rPr>
        <w:t>[Act s 76]</w:t>
      </w:r>
      <w:r w:rsidRPr="00736F23">
        <w:rPr>
          <w:sz w:val="20"/>
          <w:szCs w:val="20"/>
        </w:rPr>
        <w:t xml:space="preserve">, </w:t>
      </w:r>
      <w:r w:rsidRPr="00736F23">
        <w:t xml:space="preserve">or without a request if the provider is satisfied there is sufficient reason to do so </w:t>
      </w:r>
      <w:r w:rsidRPr="00F502FC">
        <w:rPr>
          <w:rStyle w:val="ReferenceChar"/>
        </w:rPr>
        <w:t>[Act s 77]</w:t>
      </w:r>
      <w:r w:rsidRPr="00736F23">
        <w:t xml:space="preserve">. </w:t>
      </w:r>
    </w:p>
    <w:p w14:paraId="4CCC19B2" w14:textId="77777777" w:rsidR="00983AE6" w:rsidRPr="00EC1C18" w:rsidRDefault="00983AE6" w:rsidP="00983AE6">
      <w:r w:rsidRPr="00EC1C18">
        <w:t>An approved course provider must appoint a review officer to reconsider reviewable decisions made by the provider - i.e. a decision made under section 68 not to re</w:t>
      </w:r>
      <w:r w:rsidRPr="00EC1C18">
        <w:noBreakHyphen/>
        <w:t xml:space="preserve">credit a person’s FEE-HELP balance (for special circumstances). </w:t>
      </w:r>
    </w:p>
    <w:p w14:paraId="4D029F06" w14:textId="77777777" w:rsidR="00983AE6" w:rsidRPr="00EC1C18" w:rsidRDefault="00983AE6" w:rsidP="00983AE6">
      <w:r w:rsidRPr="00EC1C18">
        <w:t xml:space="preserve">The review officer must be appointed by the chief executive officer of the provider or a delegate of the chief executive officer. </w:t>
      </w:r>
    </w:p>
    <w:p w14:paraId="789B8F74" w14:textId="77777777" w:rsidR="00983AE6" w:rsidRPr="00EC1C18" w:rsidRDefault="00983AE6" w:rsidP="00983AE6">
      <w:r w:rsidRPr="00EC1C18">
        <w:t xml:space="preserve">A review officer must not review a decision they were involved in making and must occupy a position that is not lower than that occupied by the person who made the original decision </w:t>
      </w:r>
      <w:r w:rsidRPr="00F502FC">
        <w:rPr>
          <w:rStyle w:val="ReferenceChar"/>
        </w:rPr>
        <w:t>[Act s 79]</w:t>
      </w:r>
      <w:r w:rsidRPr="00EC1C18">
        <w:t>.</w:t>
      </w:r>
    </w:p>
    <w:p w14:paraId="02DB5306" w14:textId="77777777" w:rsidR="00983AE6" w:rsidRPr="00736F23" w:rsidRDefault="00983AE6" w:rsidP="00983AE6">
      <w:r w:rsidRPr="00736F23">
        <w:t>Each application should be examined and determined on its merits. The provider should consider the person’s claims, together with any independent supporting documentary evidence that substantiates these claims.</w:t>
      </w:r>
    </w:p>
    <w:p w14:paraId="330CC6A7" w14:textId="77777777" w:rsidR="00983AE6" w:rsidRPr="00293C00" w:rsidRDefault="00983AE6" w:rsidP="0097191F">
      <w:pPr>
        <w:pStyle w:val="Heading5"/>
      </w:pPr>
      <w:bookmarkStart w:id="2714" w:name="_Toc481505274"/>
      <w:bookmarkStart w:id="2715" w:name="_Toc483209587"/>
      <w:bookmarkStart w:id="2716" w:name="_Toc483222916"/>
      <w:r w:rsidRPr="00293C00">
        <w:t>Review by review officer</w:t>
      </w:r>
      <w:bookmarkEnd w:id="2714"/>
      <w:bookmarkEnd w:id="2715"/>
      <w:bookmarkEnd w:id="2716"/>
    </w:p>
    <w:p w14:paraId="0C2DB45D" w14:textId="77777777" w:rsidR="00983AE6" w:rsidRPr="00736F23" w:rsidRDefault="00983AE6" w:rsidP="00983AE6">
      <w:r w:rsidRPr="00736F23">
        <w:t>The review officer must reconsider the decision and either</w:t>
      </w:r>
      <w:r>
        <w:t xml:space="preserve"> </w:t>
      </w:r>
      <w:r w:rsidRPr="00F502FC">
        <w:rPr>
          <w:rStyle w:val="ReferenceChar"/>
        </w:rPr>
        <w:t>[Act s 76(4)]</w:t>
      </w:r>
      <w:r w:rsidRPr="00F502FC">
        <w:t>:</w:t>
      </w:r>
    </w:p>
    <w:p w14:paraId="506D0709" w14:textId="77777777" w:rsidR="00983AE6" w:rsidRPr="00F502FC" w:rsidRDefault="00983AE6" w:rsidP="00A0727A">
      <w:pPr>
        <w:pStyle w:val="ListBullet"/>
        <w:numPr>
          <w:ilvl w:val="0"/>
          <w:numId w:val="74"/>
        </w:numPr>
      </w:pPr>
      <w:r w:rsidRPr="00F502FC">
        <w:t>confirm the decision or</w:t>
      </w:r>
    </w:p>
    <w:p w14:paraId="01B3C767" w14:textId="77777777" w:rsidR="00983AE6" w:rsidRPr="00F502FC" w:rsidRDefault="00983AE6" w:rsidP="00A0727A">
      <w:pPr>
        <w:pStyle w:val="ListBullet"/>
        <w:numPr>
          <w:ilvl w:val="0"/>
          <w:numId w:val="74"/>
        </w:numPr>
      </w:pPr>
      <w:r w:rsidRPr="00F502FC">
        <w:t>vary the decision or</w:t>
      </w:r>
    </w:p>
    <w:p w14:paraId="68F579CE" w14:textId="77777777" w:rsidR="00983AE6" w:rsidRPr="00F502FC" w:rsidRDefault="00983AE6" w:rsidP="00A0727A">
      <w:pPr>
        <w:pStyle w:val="ListBullet"/>
        <w:numPr>
          <w:ilvl w:val="0"/>
          <w:numId w:val="74"/>
        </w:numPr>
        <w:rPr>
          <w:rStyle w:val="ReferencesChar"/>
          <w:rFonts w:asciiTheme="minorHAnsi" w:hAnsiTheme="minorHAnsi" w:cstheme="minorBidi"/>
          <w:b w:val="0"/>
          <w:color w:val="auto"/>
          <w:sz w:val="22"/>
        </w:rPr>
      </w:pPr>
      <w:r w:rsidRPr="00F502FC">
        <w:t>set the decision aside and substitute a new decision</w:t>
      </w:r>
      <w:r w:rsidRPr="00F502FC">
        <w:rPr>
          <w:rStyle w:val="ReferencesChar"/>
          <w:rFonts w:asciiTheme="minorHAnsi" w:hAnsiTheme="minorHAnsi" w:cstheme="minorBidi"/>
          <w:b w:val="0"/>
          <w:color w:val="auto"/>
          <w:sz w:val="22"/>
        </w:rPr>
        <w:t>.</w:t>
      </w:r>
    </w:p>
    <w:p w14:paraId="2C4EC74E" w14:textId="77777777" w:rsidR="00983AE6" w:rsidRPr="00736F23" w:rsidRDefault="00983AE6" w:rsidP="00983AE6">
      <w:r w:rsidRPr="00736F23">
        <w:t xml:space="preserve">The review officer must provide written notice of the decision and provide a statement </w:t>
      </w:r>
      <w:r>
        <w:t xml:space="preserve">of the </w:t>
      </w:r>
      <w:r w:rsidRPr="00736F23">
        <w:t>reasons for making the decision</w:t>
      </w:r>
      <w:r w:rsidRPr="00736F23">
        <w:rPr>
          <w:sz w:val="20"/>
          <w:szCs w:val="20"/>
        </w:rPr>
        <w:t xml:space="preserve"> </w:t>
      </w:r>
      <w:r w:rsidRPr="00F502FC">
        <w:rPr>
          <w:rStyle w:val="ReferenceChar"/>
        </w:rPr>
        <w:t>[Act s 76(5) and (6)]</w:t>
      </w:r>
      <w:r w:rsidRPr="00E15FC0">
        <w:rPr>
          <w:rStyle w:val="ReferencesChar"/>
          <w:rFonts w:asciiTheme="minorHAnsi" w:hAnsiTheme="minorHAnsi" w:cstheme="minorHAnsi"/>
          <w:color w:val="3333FF"/>
          <w:szCs w:val="16"/>
        </w:rPr>
        <w:t>.</w:t>
      </w:r>
      <w:r w:rsidRPr="00736F23">
        <w:rPr>
          <w:rFonts w:eastAsia="Times New Roman"/>
          <w:szCs w:val="24"/>
        </w:rPr>
        <w:t xml:space="preserve"> </w:t>
      </w:r>
      <w:r w:rsidRPr="00736F23">
        <w:t>The review officer must advise</w:t>
      </w:r>
      <w:r>
        <w:t>,</w:t>
      </w:r>
      <w:r w:rsidRPr="00736F23">
        <w:t xml:space="preserve"> in the notice</w:t>
      </w:r>
      <w:r>
        <w:t>,</w:t>
      </w:r>
      <w:r w:rsidRPr="00736F23">
        <w:t xml:space="preserve"> of the </w:t>
      </w:r>
      <w:r>
        <w:t>person’s</w:t>
      </w:r>
      <w:r w:rsidRPr="00736F23">
        <w:t xml:space="preserve"> right to appeal to the Administrative Appeals Tribunal (AAT) for a review of the reviewer’s decision if the person is unsatisfied with the outcome </w:t>
      </w:r>
      <w:r w:rsidRPr="00F502FC">
        <w:rPr>
          <w:rStyle w:val="ReferenceChar"/>
        </w:rPr>
        <w:t>[Administrative Appeals Tribunal Act 1975 s 27A]</w:t>
      </w:r>
      <w:r w:rsidRPr="00F502FC">
        <w:t>.</w:t>
      </w:r>
    </w:p>
    <w:p w14:paraId="6540C24B" w14:textId="77777777" w:rsidR="00983AE6" w:rsidRPr="00736F23" w:rsidRDefault="00983AE6" w:rsidP="00983AE6">
      <w:pPr>
        <w:rPr>
          <w:rFonts w:eastAsia="Times New Roman"/>
          <w:szCs w:val="24"/>
        </w:rPr>
      </w:pPr>
      <w:r w:rsidRPr="00736F23">
        <w:t>If the reviewer does not give the person a notice of the decision within 45 days after receiving the person’s request, it is taken that the reviewer has confirmed the original decision</w:t>
      </w:r>
      <w:r w:rsidRPr="00736F23">
        <w:rPr>
          <w:rFonts w:eastAsia="Times New Roman"/>
          <w:szCs w:val="24"/>
        </w:rPr>
        <w:t xml:space="preserve"> </w:t>
      </w:r>
      <w:r w:rsidRPr="00F502FC">
        <w:rPr>
          <w:rStyle w:val="ReferenceChar"/>
        </w:rPr>
        <w:t>[Act s 76(8)]</w:t>
      </w:r>
      <w:r w:rsidRPr="00F502FC">
        <w:t>.</w:t>
      </w:r>
    </w:p>
    <w:p w14:paraId="006A919D" w14:textId="77777777" w:rsidR="00983AE6" w:rsidRPr="00736F23" w:rsidRDefault="00983AE6" w:rsidP="00983AE6">
      <w:pPr>
        <w:rPr>
          <w:sz w:val="20"/>
          <w:szCs w:val="20"/>
        </w:rPr>
      </w:pPr>
      <w:r w:rsidRPr="00736F23">
        <w:t xml:space="preserve">The provider may find it useful to maintain an up-to-date register of appointments of review officers. For further information on the review process </w:t>
      </w:r>
      <w:r w:rsidRPr="00560BB3">
        <w:t xml:space="preserve">see </w:t>
      </w:r>
      <w:hyperlink w:anchor="_Appendix_E_–_1" w:history="1">
        <w:r w:rsidRPr="00F502FC">
          <w:rPr>
            <w:rStyle w:val="Hyperlink"/>
          </w:rPr>
          <w:t>Appendix E</w:t>
        </w:r>
      </w:hyperlink>
      <w:r w:rsidRPr="00F502FC">
        <w:t>.</w:t>
      </w:r>
    </w:p>
    <w:p w14:paraId="1360E9C3" w14:textId="77777777" w:rsidR="00983AE6" w:rsidRPr="00F84E92" w:rsidRDefault="00983AE6" w:rsidP="0046696E">
      <w:pPr>
        <w:pStyle w:val="Heading5"/>
      </w:pPr>
      <w:r w:rsidRPr="00F84E92">
        <w:t>Applications outside the time-period</w:t>
      </w:r>
    </w:p>
    <w:p w14:paraId="07F49A63" w14:textId="77777777" w:rsidR="00983AE6" w:rsidRPr="00736F23" w:rsidRDefault="00983AE6" w:rsidP="00983AE6">
      <w:r w:rsidRPr="00736F23">
        <w:t xml:space="preserve">In circumstances where an application </w:t>
      </w:r>
      <w:r>
        <w:t xml:space="preserve">for review </w:t>
      </w:r>
      <w:r w:rsidRPr="00736F23">
        <w:t>is made outside the application period</w:t>
      </w:r>
      <w:r>
        <w:t xml:space="preserve"> (that is, 28 days after the person was notified of the decision)</w:t>
      </w:r>
      <w:r w:rsidRPr="00736F23">
        <w:t xml:space="preserve">, and the provider </w:t>
      </w:r>
      <w:r>
        <w:t>has</w:t>
      </w:r>
      <w:r w:rsidRPr="00736F23">
        <w:t xml:space="preserve"> not </w:t>
      </w:r>
      <w:r>
        <w:t>extended this time</w:t>
      </w:r>
      <w:r w:rsidRPr="00736F23">
        <w:t xml:space="preserve">, the person should be advised the application has been refused on the basis the person </w:t>
      </w:r>
      <w:r>
        <w:t>is out of time</w:t>
      </w:r>
      <w:r w:rsidRPr="00736F23">
        <w:t xml:space="preserve">. In these circumstances, it is not necessary for the provider to address whether the special circumstances test has been satisfied. </w:t>
      </w:r>
    </w:p>
    <w:p w14:paraId="4DD37DF3" w14:textId="77777777" w:rsidR="00983AE6" w:rsidRPr="00293C00" w:rsidRDefault="00983AE6" w:rsidP="0046696E">
      <w:pPr>
        <w:pStyle w:val="Heading5"/>
      </w:pPr>
      <w:bookmarkStart w:id="2717" w:name="_Toc481505275"/>
      <w:bookmarkStart w:id="2718" w:name="_Toc483209588"/>
      <w:bookmarkStart w:id="2719" w:name="_Toc483222917"/>
      <w:r w:rsidRPr="00293C00">
        <w:t>Review by the Administrative Appeals Tribunal</w:t>
      </w:r>
      <w:bookmarkEnd w:id="2717"/>
      <w:bookmarkEnd w:id="2718"/>
      <w:bookmarkEnd w:id="2719"/>
      <w:r w:rsidRPr="00293C00">
        <w:t xml:space="preserve"> </w:t>
      </w:r>
    </w:p>
    <w:p w14:paraId="4593BB64" w14:textId="77777777" w:rsidR="00983AE6" w:rsidRPr="00736F23" w:rsidRDefault="00983AE6" w:rsidP="00983AE6">
      <w:r w:rsidRPr="00736F23">
        <w:t>A person may apply to the Administrative Appeals Tribunal (AAT) for review of a review officer’s decision and may supply additional information to the AAT they did not previously supply to the provider, including the review officer.</w:t>
      </w:r>
    </w:p>
    <w:p w14:paraId="4F88C0E5" w14:textId="77777777" w:rsidR="00983AE6" w:rsidRPr="00736F23" w:rsidRDefault="00983AE6" w:rsidP="00983AE6">
      <w:r w:rsidRPr="00736F23">
        <w:t xml:space="preserve">The department will receive notification from the AAT that a person has lodged an application for a review of a review officer’s decision. The department is the respondent for cases that are before the AAT. </w:t>
      </w:r>
    </w:p>
    <w:p w14:paraId="4C5CFBAA" w14:textId="77777777" w:rsidR="00983AE6" w:rsidRPr="00736F23" w:rsidRDefault="00983AE6" w:rsidP="00983AE6">
      <w:r w:rsidRPr="00736F23">
        <w:lastRenderedPageBreak/>
        <w:t xml:space="preserve">Once the department has received notification from the AAT </w:t>
      </w:r>
      <w:r>
        <w:t xml:space="preserve">that </w:t>
      </w:r>
      <w:r w:rsidRPr="00736F23">
        <w:t xml:space="preserve">the person has applied for the reconsideration under section 37 of </w:t>
      </w:r>
      <w:r w:rsidRPr="00736F23">
        <w:rPr>
          <w:i/>
        </w:rPr>
        <w:t>the Administrative Appeals Tribunal Act 1975</w:t>
      </w:r>
      <w:r w:rsidRPr="00736F23">
        <w:t>, the department must lodge the following documents with the AAT within 28 days:</w:t>
      </w:r>
    </w:p>
    <w:p w14:paraId="262F86DF" w14:textId="77777777" w:rsidR="00983AE6" w:rsidRPr="00736F23" w:rsidRDefault="00983AE6" w:rsidP="00A0727A">
      <w:pPr>
        <w:pStyle w:val="ListBullet"/>
        <w:numPr>
          <w:ilvl w:val="0"/>
          <w:numId w:val="74"/>
        </w:numPr>
      </w:pPr>
      <w:r w:rsidRPr="00736F23">
        <w:t>a statement setting out the findings on material questions of fact, referring to the evidence or other material on which those findings were based and giving the reasons for the decision</w:t>
      </w:r>
      <w:r>
        <w:t>,</w:t>
      </w:r>
      <w:r w:rsidRPr="00736F23">
        <w:t xml:space="preserve"> and</w:t>
      </w:r>
    </w:p>
    <w:p w14:paraId="0855D1E3" w14:textId="77777777" w:rsidR="00983AE6" w:rsidRPr="00736F23" w:rsidRDefault="00983AE6" w:rsidP="00A0727A">
      <w:pPr>
        <w:pStyle w:val="ListBullet"/>
        <w:numPr>
          <w:ilvl w:val="0"/>
          <w:numId w:val="74"/>
        </w:numPr>
      </w:pPr>
      <w:r w:rsidRPr="00736F23">
        <w:t>every document or part of a document that is in the reviewer’s possession or under the reviewer’s control and is considered by the reviewer to be relevant to the review of the decision by the AAT.</w:t>
      </w:r>
    </w:p>
    <w:p w14:paraId="5F619FC5" w14:textId="77777777" w:rsidR="00983AE6" w:rsidRPr="00736F23" w:rsidRDefault="00983AE6" w:rsidP="00983AE6">
      <w:r w:rsidRPr="00736F23">
        <w:t>The department will notify the provider, in writing, that an appeal has been lodged. To enable the department to meet the 28-day timeframe, the pr</w:t>
      </w:r>
      <w:r>
        <w:t>ovider must, within a further 5 </w:t>
      </w:r>
      <w:r w:rsidRPr="00736F23">
        <w:t>business days of being requested, provide the department with copies of all the documents it holds that are relevant to the appeal. These documents should be sent by courier or express post to meet the 5-business day requirement. The provider should keep any originals and copies of the documents in line with its normal recording keeping practices.</w:t>
      </w:r>
    </w:p>
    <w:p w14:paraId="3F3B2C25" w14:textId="77777777" w:rsidR="00983AE6" w:rsidRPr="00736F23" w:rsidRDefault="00983AE6" w:rsidP="00983AE6">
      <w:r w:rsidRPr="00736F23">
        <w:t>Once the documents are received, the department may choose to review the original decision.</w:t>
      </w:r>
    </w:p>
    <w:p w14:paraId="5C1970A4" w14:textId="77777777" w:rsidR="00983AE6" w:rsidRPr="00736F23" w:rsidRDefault="00983AE6" w:rsidP="00983AE6">
      <w:r w:rsidRPr="00736F23">
        <w:t>The provider’s review officer may also reconsider the decision even though an appeal has been made to the AAT at any time up until the AAT makes a final decision. If a decision is made to re-credit a person’s FEE-HELP balance the provider must advise the department.</w:t>
      </w:r>
    </w:p>
    <w:p w14:paraId="57031E51" w14:textId="77777777" w:rsidR="00983AE6" w:rsidRPr="00736F23" w:rsidRDefault="00983AE6" w:rsidP="00983AE6">
      <w:r w:rsidRPr="00736F23">
        <w:t xml:space="preserve">However, until a person withdraws their AAT appeal or the appeal is dismissed or otherwise dealt with by the AAT, the department is still required to comply with the requirement under section 37 of the </w:t>
      </w:r>
      <w:r w:rsidRPr="00736F23">
        <w:rPr>
          <w:i/>
        </w:rPr>
        <w:t>Administrative Appeals Tribunal Act 1975</w:t>
      </w:r>
      <w:r w:rsidRPr="00736F23">
        <w:t xml:space="preserve"> to lodge the statement, and relevant documents described in the two dot points above, with the AAT. Therefore, the provider must still forward all relevant docum</w:t>
      </w:r>
      <w:r>
        <w:t>ents to the department within 5 </w:t>
      </w:r>
      <w:r w:rsidRPr="00736F23">
        <w:t>business days, unless advised not to do so by the department. The department will deal with cases from that point and advise the provider of the outcome.</w:t>
      </w:r>
    </w:p>
    <w:p w14:paraId="2DAEE1FE" w14:textId="77777777" w:rsidR="00983AE6" w:rsidRPr="00293C00" w:rsidRDefault="00983AE6" w:rsidP="0046696E">
      <w:pPr>
        <w:pStyle w:val="Heading5"/>
      </w:pPr>
      <w:bookmarkStart w:id="2720" w:name="_Toc481505276"/>
      <w:bookmarkStart w:id="2721" w:name="_Toc483209589"/>
      <w:bookmarkStart w:id="2722" w:name="_Toc483222918"/>
      <w:r w:rsidRPr="00293C00">
        <w:t>Reporting the remission decision to the department</w:t>
      </w:r>
      <w:bookmarkEnd w:id="2720"/>
      <w:bookmarkEnd w:id="2721"/>
      <w:bookmarkEnd w:id="2722"/>
      <w:r w:rsidRPr="00293C00">
        <w:t xml:space="preserve"> </w:t>
      </w:r>
    </w:p>
    <w:p w14:paraId="29209B93" w14:textId="77777777" w:rsidR="00983AE6" w:rsidRPr="00736F23" w:rsidRDefault="00983AE6" w:rsidP="00983AE6">
      <w:r w:rsidRPr="004F2D4C">
        <w:t>Where a decision results in the re-crediting of a person’s FEE-HELP</w:t>
      </w:r>
      <w:r>
        <w:t xml:space="preserve"> balance</w:t>
      </w:r>
      <w:r w:rsidRPr="004F2D4C">
        <w:t>, the provider will be notified and must report this outcome via submission of a HEIMS revisions file. The provider is required to repay to the Commonwealth any amounts of VET student loan the provider received from the Commonwealth on the person’s behalf through subsequent reconciliations</w:t>
      </w:r>
      <w:r>
        <w:t xml:space="preserve">, unless the department decides to issue a separate invoice </w:t>
      </w:r>
      <w:r w:rsidRPr="00F502FC">
        <w:rPr>
          <w:rStyle w:val="ReferenceChar"/>
        </w:rPr>
        <w:t>[Act, s 22]</w:t>
      </w:r>
      <w:r w:rsidRPr="004F2D4C">
        <w:t>.</w:t>
      </w:r>
    </w:p>
    <w:p w14:paraId="62FD291F" w14:textId="77777777" w:rsidR="00BA70A8" w:rsidRPr="00F84E92" w:rsidRDefault="00BA70A8" w:rsidP="0046696E">
      <w:pPr>
        <w:pStyle w:val="Heading5"/>
      </w:pPr>
      <w:bookmarkStart w:id="2723" w:name="_Toc481505277"/>
      <w:bookmarkStart w:id="2724" w:name="_Toc483209590"/>
      <w:bookmarkStart w:id="2725" w:name="_Toc483222919"/>
      <w:r w:rsidRPr="00F84E92">
        <w:t>Treatment of students seeking review</w:t>
      </w:r>
    </w:p>
    <w:bookmarkEnd w:id="2723"/>
    <w:bookmarkEnd w:id="2724"/>
    <w:bookmarkEnd w:id="2725"/>
    <w:p w14:paraId="435DE7F1" w14:textId="77777777" w:rsidR="00983AE6" w:rsidRDefault="00983AE6" w:rsidP="00F84E92">
      <w:pPr>
        <w:spacing w:after="120"/>
      </w:pPr>
      <w:r w:rsidRPr="00736F23">
        <w:t>A</w:t>
      </w:r>
      <w:r>
        <w:t xml:space="preserve">n approved course </w:t>
      </w:r>
      <w:r w:rsidRPr="00736F23">
        <w:t>provider’s processes a</w:t>
      </w:r>
      <w:r>
        <w:t>nd procedures must ensure that a student is not victimised or discriminated against for:</w:t>
      </w:r>
    </w:p>
    <w:p w14:paraId="0497D98D" w14:textId="77777777" w:rsidR="00983AE6" w:rsidRDefault="00983AE6" w:rsidP="00A0727A">
      <w:pPr>
        <w:pStyle w:val="ListBullet"/>
        <w:numPr>
          <w:ilvl w:val="0"/>
          <w:numId w:val="74"/>
        </w:numPr>
      </w:pPr>
      <w:r w:rsidRPr="00736F23">
        <w:t>seeking a review or reconsideration of a decision</w:t>
      </w:r>
    </w:p>
    <w:p w14:paraId="5081B742" w14:textId="77777777" w:rsidR="00983AE6" w:rsidRDefault="00983AE6" w:rsidP="00A0727A">
      <w:pPr>
        <w:pStyle w:val="ListBullet"/>
        <w:numPr>
          <w:ilvl w:val="0"/>
          <w:numId w:val="74"/>
        </w:numPr>
      </w:pPr>
      <w:r w:rsidRPr="00736F23">
        <w:t xml:space="preserve">using the provider grievance processes or procedures or </w:t>
      </w:r>
    </w:p>
    <w:p w14:paraId="1B60524B" w14:textId="77777777" w:rsidR="00F264CD" w:rsidRDefault="00983AE6" w:rsidP="00A0727A">
      <w:pPr>
        <w:pStyle w:val="ListBullet"/>
        <w:numPr>
          <w:ilvl w:val="0"/>
          <w:numId w:val="74"/>
        </w:numPr>
      </w:pPr>
      <w:r w:rsidRPr="00736F23">
        <w:t>making an application for re-crediting the student’s FEE</w:t>
      </w:r>
      <w:r w:rsidRPr="00736F23">
        <w:noBreakHyphen/>
        <w:t>HELP balance</w:t>
      </w:r>
      <w:r w:rsidRPr="00736F23">
        <w:rPr>
          <w:sz w:val="20"/>
        </w:rPr>
        <w:t xml:space="preserve"> </w:t>
      </w:r>
      <w:r w:rsidRPr="00F502FC">
        <w:rPr>
          <w:rStyle w:val="ReferenceChar"/>
        </w:rPr>
        <w:t>[Rules s 90]</w:t>
      </w:r>
      <w:r w:rsidRPr="00E6710C">
        <w:t>.</w:t>
      </w:r>
    </w:p>
    <w:p w14:paraId="0D0F24A0" w14:textId="01D19672" w:rsidR="00BA70A8" w:rsidRPr="00D4463F" w:rsidRDefault="0046696E" w:rsidP="00D4463F">
      <w:pPr>
        <w:pStyle w:val="Heading5"/>
      </w:pPr>
      <w:bookmarkStart w:id="2726" w:name="Review_procedure_flowchart"/>
      <w:r w:rsidRPr="00D4463F">
        <w:rPr>
          <w:noProof/>
          <w:lang w:eastAsia="en-AU"/>
        </w:rPr>
        <w:lastRenderedPageBreak/>
        <w:drawing>
          <wp:anchor distT="0" distB="0" distL="114300" distR="114300" simplePos="0" relativeHeight="251661312" behindDoc="1" locked="0" layoutInCell="1" allowOverlap="1" wp14:anchorId="1B23D970" wp14:editId="074303F0">
            <wp:simplePos x="0" y="0"/>
            <wp:positionH relativeFrom="column">
              <wp:posOffset>-252574</wp:posOffset>
            </wp:positionH>
            <wp:positionV relativeFrom="paragraph">
              <wp:posOffset>297180</wp:posOffset>
            </wp:positionV>
            <wp:extent cx="6465570" cy="3631565"/>
            <wp:effectExtent l="0" t="0" r="0" b="6985"/>
            <wp:wrapTight wrapText="bothSides">
              <wp:wrapPolygon edited="0">
                <wp:start x="0" y="0"/>
                <wp:lineTo x="0" y="21528"/>
                <wp:lineTo x="21511" y="21528"/>
                <wp:lineTo x="21511" y="0"/>
                <wp:lineTo x="0" y="0"/>
              </wp:wrapPolygon>
            </wp:wrapTight>
            <wp:docPr id="13" name="Picture 13" descr="illustration of the review proceedure flowchart between the student, provider, the department through to the ATO." title="Review proceedure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extLst>
                        <a:ext uri="{28A0092B-C50C-407E-A947-70E740481C1C}">
                          <a14:useLocalDpi xmlns:a14="http://schemas.microsoft.com/office/drawing/2010/main" val="0"/>
                        </a:ext>
                      </a:extLst>
                    </a:blip>
                    <a:stretch>
                      <a:fillRect/>
                    </a:stretch>
                  </pic:blipFill>
                  <pic:spPr>
                    <a:xfrm>
                      <a:off x="0" y="0"/>
                      <a:ext cx="6465570" cy="3631565"/>
                    </a:xfrm>
                    <a:prstGeom prst="rect">
                      <a:avLst/>
                    </a:prstGeom>
                  </pic:spPr>
                </pic:pic>
              </a:graphicData>
            </a:graphic>
          </wp:anchor>
        </w:drawing>
      </w:r>
      <w:r w:rsidR="00BA70A8" w:rsidRPr="00D4463F">
        <w:t>Review procedure flowchart</w:t>
      </w:r>
    </w:p>
    <w:bookmarkEnd w:id="2726"/>
    <w:p w14:paraId="5CAEFF67" w14:textId="77777777" w:rsidR="00F264CD" w:rsidRPr="00F84E92" w:rsidRDefault="00F264CD" w:rsidP="0046696E">
      <w:pPr>
        <w:pStyle w:val="Heading5"/>
      </w:pPr>
      <w:r w:rsidRPr="00F84E92">
        <w:t>Re-crediting by the provider where course not provided to completion</w:t>
      </w:r>
    </w:p>
    <w:p w14:paraId="40890B21" w14:textId="77777777" w:rsidR="00F264CD" w:rsidRDefault="00F264CD" w:rsidP="00F264CD">
      <w:r w:rsidRPr="003B2495">
        <w:t>A provider must</w:t>
      </w:r>
      <w:r>
        <w:t>, on the Secretary’s behalf, re-credit a student’s FEE-HELP balance if:</w:t>
      </w:r>
    </w:p>
    <w:p w14:paraId="647CBC5D" w14:textId="77777777" w:rsidR="00F264CD" w:rsidRPr="0090482C" w:rsidRDefault="00F264CD" w:rsidP="00A0727A">
      <w:pPr>
        <w:pStyle w:val="ListBullet"/>
        <w:numPr>
          <w:ilvl w:val="0"/>
          <w:numId w:val="74"/>
        </w:numPr>
        <w:rPr>
          <w:sz w:val="20"/>
          <w:szCs w:val="20"/>
        </w:rPr>
      </w:pPr>
      <w:r>
        <w:t xml:space="preserve">the </w:t>
      </w:r>
      <w:r w:rsidRPr="003B2495">
        <w:t>student has not complete</w:t>
      </w:r>
      <w:r>
        <w:t xml:space="preserve">d the requirements for the </w:t>
      </w:r>
      <w:r w:rsidRPr="003B2495">
        <w:t xml:space="preserve">course, or the part of </w:t>
      </w:r>
      <w:r>
        <w:t>the</w:t>
      </w:r>
      <w:r w:rsidRPr="003B2495">
        <w:t xml:space="preserve"> course, because the provider ceased to provide the course</w:t>
      </w:r>
      <w:r>
        <w:t>, or the part of the course after it started but before it was completed,</w:t>
      </w:r>
      <w:r w:rsidRPr="003B2495">
        <w:t xml:space="preserve"> and </w:t>
      </w:r>
    </w:p>
    <w:p w14:paraId="205331A6" w14:textId="77777777" w:rsidR="00F264CD" w:rsidRPr="0090482C" w:rsidRDefault="00F264CD" w:rsidP="00A0727A">
      <w:pPr>
        <w:pStyle w:val="ListBullet"/>
        <w:numPr>
          <w:ilvl w:val="0"/>
          <w:numId w:val="74"/>
        </w:numPr>
        <w:rPr>
          <w:sz w:val="20"/>
          <w:szCs w:val="20"/>
        </w:rPr>
      </w:pPr>
      <w:r w:rsidRPr="003B2495">
        <w:t>it is impractical for the student, under the approved tuition assurance arrangement for the course, to finish the course or an equivalent course</w:t>
      </w:r>
      <w:r w:rsidRPr="003B2495" w:rsidDel="003B2495">
        <w:t xml:space="preserve"> </w:t>
      </w:r>
      <w:r w:rsidRPr="006C431C">
        <w:rPr>
          <w:rStyle w:val="ReferenceChar"/>
        </w:rPr>
        <w:t>[Act s 69(1)]</w:t>
      </w:r>
      <w:r w:rsidRPr="00736F23">
        <w:rPr>
          <w:rStyle w:val="ReferencesChar"/>
          <w:rFonts w:asciiTheme="minorHAnsi" w:hAnsiTheme="minorHAnsi" w:cstheme="minorHAnsi"/>
        </w:rPr>
        <w:t>.</w:t>
      </w:r>
      <w:r w:rsidRPr="00736F23">
        <w:t xml:space="preserve"> </w:t>
      </w:r>
    </w:p>
    <w:p w14:paraId="32A47C6E" w14:textId="77777777" w:rsidR="00F264CD" w:rsidRDefault="00F264CD" w:rsidP="00F264CD">
      <w:r>
        <w:t xml:space="preserve">The amount re-credited must be equal to the amounts of the VET Student Loans that have been used to pay tuition fees for the student for the course, or the part of the course </w:t>
      </w:r>
      <w:r w:rsidRPr="006C431C">
        <w:rPr>
          <w:rStyle w:val="ReferenceChar"/>
        </w:rPr>
        <w:t>[Act s 69(2)]</w:t>
      </w:r>
      <w:r>
        <w:t>.</w:t>
      </w:r>
    </w:p>
    <w:p w14:paraId="6B465A9B" w14:textId="77777777" w:rsidR="00F264CD" w:rsidRDefault="00F264CD" w:rsidP="00F264CD">
      <w:pPr>
        <w:rPr>
          <w:rStyle w:val="ReferencesChar"/>
          <w:rFonts w:asciiTheme="minorHAnsi" w:hAnsiTheme="minorHAnsi" w:cstheme="minorHAnsi"/>
        </w:rPr>
      </w:pPr>
      <w:r>
        <w:t xml:space="preserve">If the provider re-credits the student’s FEE-HELP balance, the provider must notify the student and the tuition assurance scheme operator of the student for the course, as soon as practicable </w:t>
      </w:r>
      <w:r w:rsidRPr="006C431C">
        <w:rPr>
          <w:rStyle w:val="ReferenceChar"/>
        </w:rPr>
        <w:t>[Act s 69(3)]</w:t>
      </w:r>
      <w:r w:rsidRPr="007170D9">
        <w:rPr>
          <w:rStyle w:val="ReferencesChar"/>
          <w:rFonts w:asciiTheme="minorHAnsi" w:hAnsiTheme="minorHAnsi" w:cstheme="minorHAnsi"/>
        </w:rPr>
        <w:t>.</w:t>
      </w:r>
    </w:p>
    <w:p w14:paraId="050ED390" w14:textId="732E10B8" w:rsidR="00F264CD" w:rsidRPr="00293C00" w:rsidRDefault="00F264CD" w:rsidP="00063FCA">
      <w:pPr>
        <w:pStyle w:val="Heading5"/>
      </w:pPr>
      <w:r w:rsidRPr="00293C00">
        <w:t>Re-crediting by Secretary</w:t>
      </w:r>
    </w:p>
    <w:p w14:paraId="24D6FA7B" w14:textId="47A5F953" w:rsidR="00F264CD" w:rsidRPr="00736F23" w:rsidRDefault="00F264CD" w:rsidP="00F264CD">
      <w:r w:rsidRPr="00736F23">
        <w:t>The Secretary may act in place of a provider and re-credit a student’s FEE-HELP balance</w:t>
      </w:r>
      <w:r w:rsidR="002478CE">
        <w:t xml:space="preserve"> under section </w:t>
      </w:r>
      <w:r>
        <w:t xml:space="preserve">68 of the Act, for special circumstances, or under section 69 of the Act, where a course has not been provided to completion. The Secretary may exercise this discretion where </w:t>
      </w:r>
      <w:r w:rsidRPr="00736F23">
        <w:t xml:space="preserve">the course provider is unable to do so or is being wound up or has </w:t>
      </w:r>
      <w:r>
        <w:t xml:space="preserve">been </w:t>
      </w:r>
      <w:r w:rsidRPr="00736F23">
        <w:t xml:space="preserve">dissolved or where the course provider has unreasonably failed to act </w:t>
      </w:r>
      <w:r w:rsidRPr="006C431C">
        <w:rPr>
          <w:rStyle w:val="ReferenceChar"/>
        </w:rPr>
        <w:t>[Act s 70]</w:t>
      </w:r>
      <w:r w:rsidRPr="00736F23">
        <w:t xml:space="preserve">. </w:t>
      </w:r>
    </w:p>
    <w:p w14:paraId="6653F8E1" w14:textId="77777777" w:rsidR="00F264CD" w:rsidRDefault="00F264CD" w:rsidP="00F264CD">
      <w:r w:rsidRPr="00736F23">
        <w:t>In addition, the Secretary may re-credit a person’s FEE-HELP balance where the person has been subject to ‘unacceptable conduct’ within the meaning of Division 2 of the Rules</w:t>
      </w:r>
      <w:r>
        <w:t xml:space="preserve"> </w:t>
      </w:r>
      <w:r w:rsidRPr="006C431C">
        <w:rPr>
          <w:rStyle w:val="ReferenceChar"/>
        </w:rPr>
        <w:t>[Act s 71(1)]</w:t>
      </w:r>
      <w:r w:rsidRPr="00736F23">
        <w:t>.</w:t>
      </w:r>
    </w:p>
    <w:p w14:paraId="3E7FB26B" w14:textId="77777777" w:rsidR="00F264CD" w:rsidRDefault="00F264CD" w:rsidP="00F264CD">
      <w:r>
        <w:t>The Secretary may also re-credit a student’s FEE-HELP balance if the Secretary is satisfied of one or more of the following:</w:t>
      </w:r>
    </w:p>
    <w:p w14:paraId="43EC952D" w14:textId="77777777" w:rsidR="00F264CD" w:rsidRDefault="00F264CD" w:rsidP="00A0727A">
      <w:pPr>
        <w:pStyle w:val="ListBullet"/>
        <w:numPr>
          <w:ilvl w:val="0"/>
          <w:numId w:val="74"/>
        </w:numPr>
      </w:pPr>
      <w:r>
        <w:t>the student is not an eligible student</w:t>
      </w:r>
    </w:p>
    <w:p w14:paraId="6623C52C" w14:textId="77777777" w:rsidR="00F264CD" w:rsidRDefault="00F264CD" w:rsidP="00A0727A">
      <w:pPr>
        <w:pStyle w:val="ListBullet"/>
        <w:numPr>
          <w:ilvl w:val="0"/>
          <w:numId w:val="74"/>
        </w:numPr>
      </w:pPr>
      <w:r>
        <w:lastRenderedPageBreak/>
        <w:t>the student is not a genuine student</w:t>
      </w:r>
    </w:p>
    <w:p w14:paraId="0550236C" w14:textId="77777777" w:rsidR="00F264CD" w:rsidRDefault="00F264CD" w:rsidP="00A0727A">
      <w:pPr>
        <w:pStyle w:val="ListBullet"/>
        <w:numPr>
          <w:ilvl w:val="0"/>
          <w:numId w:val="74"/>
        </w:numPr>
      </w:pPr>
      <w:r>
        <w:t>the student does not have a tax file number</w:t>
      </w:r>
    </w:p>
    <w:p w14:paraId="6E6B9211" w14:textId="77777777" w:rsidR="00F264CD" w:rsidRDefault="00F264CD" w:rsidP="00A0727A">
      <w:pPr>
        <w:pStyle w:val="ListBullet"/>
        <w:numPr>
          <w:ilvl w:val="0"/>
          <w:numId w:val="74"/>
        </w:numPr>
      </w:pPr>
      <w:r>
        <w:t xml:space="preserve">the student does not have a student identifier (that is a USI within the meaning of the </w:t>
      </w:r>
      <w:r w:rsidRPr="00A92AB6">
        <w:rPr>
          <w:i/>
        </w:rPr>
        <w:t>Student Identifiers Act 2014</w:t>
      </w:r>
      <w:r>
        <w:t>)</w:t>
      </w:r>
      <w:r w:rsidRPr="00890A87">
        <w:rPr>
          <w:rStyle w:val="ReferenceChar"/>
          <w:color w:val="auto"/>
        </w:rPr>
        <w:t xml:space="preserve"> </w:t>
      </w:r>
      <w:r w:rsidRPr="006C431C">
        <w:rPr>
          <w:rStyle w:val="ReferenceChar"/>
        </w:rPr>
        <w:t>[Act s 71(3)]</w:t>
      </w:r>
      <w:r>
        <w:t>.</w:t>
      </w:r>
    </w:p>
    <w:p w14:paraId="2FCF79FB" w14:textId="77777777" w:rsidR="00F264CD" w:rsidRPr="00954697" w:rsidRDefault="00F264CD" w:rsidP="00F264CD">
      <w:r>
        <w:t>Further the Secretary may re-credit a student’s FEE-HELP balance where</w:t>
      </w:r>
      <w:r w:rsidRPr="006C431C">
        <w:t>:</w:t>
      </w:r>
    </w:p>
    <w:p w14:paraId="458769ED" w14:textId="77777777" w:rsidR="00F264CD" w:rsidRDefault="00F264CD" w:rsidP="00A0727A">
      <w:pPr>
        <w:pStyle w:val="ListBullet"/>
        <w:numPr>
          <w:ilvl w:val="0"/>
          <w:numId w:val="74"/>
        </w:numPr>
      </w:pPr>
      <w:r>
        <w:t>the provider has failed to comply with the Act (including the Rules, other instruments made under the Act and the HESA and any instrument made under the HESA to the extent they relate to the Act), and</w:t>
      </w:r>
    </w:p>
    <w:p w14:paraId="76F77778" w14:textId="77777777" w:rsidR="00F264CD" w:rsidRPr="00954697" w:rsidRDefault="00F264CD" w:rsidP="00A0727A">
      <w:pPr>
        <w:pStyle w:val="ListBullet"/>
        <w:numPr>
          <w:ilvl w:val="0"/>
          <w:numId w:val="74"/>
        </w:numPr>
      </w:pPr>
      <w:r>
        <w:t xml:space="preserve">the failure has adversely affected the student </w:t>
      </w:r>
      <w:r w:rsidRPr="006C431C">
        <w:rPr>
          <w:rStyle w:val="ReferenceChar"/>
        </w:rPr>
        <w:t>[Act s 71(4)]</w:t>
      </w:r>
      <w:r>
        <w:t>.</w:t>
      </w:r>
    </w:p>
    <w:p w14:paraId="0EAF36A6" w14:textId="77777777" w:rsidR="00F264CD" w:rsidRPr="00596137" w:rsidRDefault="00F264CD" w:rsidP="00596137">
      <w:pPr>
        <w:pStyle w:val="Heading5"/>
      </w:pPr>
      <w:r w:rsidRPr="00596137">
        <w:t>Unacceptable conduct</w:t>
      </w:r>
    </w:p>
    <w:p w14:paraId="72D0421D" w14:textId="77777777" w:rsidR="00F264CD" w:rsidRPr="00736F23" w:rsidRDefault="00F264CD" w:rsidP="00F264CD">
      <w:r w:rsidRPr="00736F23">
        <w:t xml:space="preserve">A student may apply to the Secretary of the department for a </w:t>
      </w:r>
      <w:r>
        <w:t xml:space="preserve">re-credit of </w:t>
      </w:r>
      <w:r w:rsidRPr="00736F23">
        <w:t xml:space="preserve">their </w:t>
      </w:r>
      <w:r>
        <w:t xml:space="preserve">FEE-HELP balance if a provider has engaged in unacceptable conduct </w:t>
      </w:r>
      <w:r w:rsidRPr="00736F23">
        <w:t xml:space="preserve">in relation to an application for a VET student loan </w:t>
      </w:r>
      <w:r>
        <w:t>under sections 71 and 72 of the Act</w:t>
      </w:r>
      <w:r>
        <w:rPr>
          <w:rStyle w:val="ReferenceChar"/>
        </w:rPr>
        <w:t xml:space="preserve"> </w:t>
      </w:r>
      <w:r w:rsidRPr="00736F23">
        <w:t>because:</w:t>
      </w:r>
    </w:p>
    <w:p w14:paraId="3A853B23" w14:textId="77777777" w:rsidR="00F264CD" w:rsidRPr="00736F23" w:rsidRDefault="00F264CD" w:rsidP="00A0727A">
      <w:pPr>
        <w:pStyle w:val="ListBullet2"/>
        <w:numPr>
          <w:ilvl w:val="1"/>
          <w:numId w:val="45"/>
        </w:numPr>
      </w:pPr>
      <w:r w:rsidRPr="00736F23">
        <w:t>the provider, or a person acting on the provider’s behalf, engaged in unacceptable conduct in relation to the student’s application for the VET student loan</w:t>
      </w:r>
      <w:r>
        <w:t>,</w:t>
      </w:r>
      <w:r w:rsidRPr="00736F23">
        <w:t xml:space="preserve"> or</w:t>
      </w:r>
    </w:p>
    <w:p w14:paraId="243A7712" w14:textId="77777777" w:rsidR="00F264CD" w:rsidRPr="00736F23" w:rsidRDefault="00F264CD" w:rsidP="00A0727A">
      <w:pPr>
        <w:pStyle w:val="ListBullet2"/>
        <w:numPr>
          <w:ilvl w:val="1"/>
          <w:numId w:val="45"/>
        </w:numPr>
      </w:pPr>
      <w:r w:rsidRPr="00736F23">
        <w:t>the provider has failed to comply with the Act or an instrument under the Act and the failure has adversely affected the student</w:t>
      </w:r>
      <w:r>
        <w:t xml:space="preserve"> </w:t>
      </w:r>
      <w:r w:rsidRPr="00A83894">
        <w:rPr>
          <w:rStyle w:val="ReferenceChar"/>
        </w:rPr>
        <w:t>[Rules paragraph 89(2)(c)]</w:t>
      </w:r>
      <w:r>
        <w:rPr>
          <w:rStyle w:val="ReferenceChar"/>
        </w:rPr>
        <w:t>.</w:t>
      </w:r>
    </w:p>
    <w:p w14:paraId="224BD16C" w14:textId="77777777" w:rsidR="00F264CD" w:rsidRPr="00736F23" w:rsidRDefault="00F264CD" w:rsidP="00F264CD">
      <w:r w:rsidRPr="00736F23">
        <w:t>Unacceptable conduct is defined as</w:t>
      </w:r>
      <w:r>
        <w:t xml:space="preserve"> </w:t>
      </w:r>
      <w:r w:rsidRPr="006C431C">
        <w:rPr>
          <w:rStyle w:val="ReferenceChar"/>
        </w:rPr>
        <w:t>[Rules s 148]</w:t>
      </w:r>
      <w:r w:rsidRPr="00736F23">
        <w:t>:</w:t>
      </w:r>
    </w:p>
    <w:p w14:paraId="51ADE4D7" w14:textId="77777777" w:rsidR="00F264CD" w:rsidRPr="00771937" w:rsidRDefault="0016765E" w:rsidP="00A0727A">
      <w:pPr>
        <w:pStyle w:val="ListBullet"/>
        <w:numPr>
          <w:ilvl w:val="0"/>
          <w:numId w:val="74"/>
        </w:numPr>
      </w:pPr>
      <w:hyperlink w:anchor="_What_is_unconscionable" w:history="1">
        <w:r w:rsidR="00F264CD" w:rsidRPr="006C3C05">
          <w:rPr>
            <w:rStyle w:val="Hyperlink"/>
            <w:rFonts w:cstheme="minorHAnsi"/>
          </w:rPr>
          <w:t>u</w:t>
        </w:r>
        <w:r w:rsidR="00F264CD" w:rsidRPr="006C431C">
          <w:rPr>
            <w:rStyle w:val="Hyperlink"/>
          </w:rPr>
          <w:t>nconscionable conduct</w:t>
        </w:r>
      </w:hyperlink>
      <w:r w:rsidR="00F264CD" w:rsidRPr="00771937">
        <w:t xml:space="preserve"> (whether or not a particular individual is identified as having been disadvantaged by the conduct)</w:t>
      </w:r>
      <w:r w:rsidR="00F264CD">
        <w:t xml:space="preserve"> </w:t>
      </w:r>
      <w:r w:rsidR="00F264CD" w:rsidRPr="006C431C">
        <w:rPr>
          <w:rStyle w:val="ReferenceChar"/>
        </w:rPr>
        <w:t>[Rules paragraph 148(1)(a)]</w:t>
      </w:r>
    </w:p>
    <w:p w14:paraId="1730E652" w14:textId="77777777" w:rsidR="00F264CD" w:rsidRPr="00771937" w:rsidRDefault="00F264CD" w:rsidP="00A0727A">
      <w:pPr>
        <w:pStyle w:val="ListBullet"/>
        <w:numPr>
          <w:ilvl w:val="0"/>
          <w:numId w:val="74"/>
        </w:numPr>
      </w:pPr>
      <w:r w:rsidRPr="00771937">
        <w:t>misleading or deceptive conduct</w:t>
      </w:r>
      <w:r>
        <w:t xml:space="preserve"> </w:t>
      </w:r>
      <w:r w:rsidRPr="006C431C">
        <w:rPr>
          <w:rStyle w:val="ReferenceChar"/>
        </w:rPr>
        <w:t>[Rules paragraph 148(1)(b)]</w:t>
      </w:r>
    </w:p>
    <w:p w14:paraId="4A00A5F0" w14:textId="77777777" w:rsidR="00F264CD" w:rsidRPr="00985D71" w:rsidRDefault="00F264CD" w:rsidP="00A0727A">
      <w:pPr>
        <w:pStyle w:val="ListBullet"/>
        <w:numPr>
          <w:ilvl w:val="0"/>
          <w:numId w:val="74"/>
        </w:numPr>
      </w:pPr>
      <w:r w:rsidRPr="00985D71">
        <w:t xml:space="preserve">the </w:t>
      </w:r>
      <w:hyperlink w:anchor="making_of_a_representation" w:history="1">
        <w:r w:rsidRPr="006C431C">
          <w:rPr>
            <w:rStyle w:val="Hyperlink"/>
          </w:rPr>
          <w:t>making of a representation</w:t>
        </w:r>
      </w:hyperlink>
      <w:r w:rsidRPr="00985D71">
        <w:t xml:space="preserve"> with respect to any </w:t>
      </w:r>
      <w:hyperlink w:anchor="future_matter" w:history="1">
        <w:r w:rsidRPr="006C431C">
          <w:rPr>
            <w:rStyle w:val="Hyperlink"/>
          </w:rPr>
          <w:t>future matter</w:t>
        </w:r>
      </w:hyperlink>
      <w:r w:rsidRPr="00985D71">
        <w:t xml:space="preserve">, such as the doing of, or the refusing to do, any act, if the maker of the representation does not have </w:t>
      </w:r>
      <w:hyperlink w:anchor="reasonable_grounds" w:history="1">
        <w:r w:rsidRPr="006C431C">
          <w:rPr>
            <w:rStyle w:val="Hyperlink"/>
          </w:rPr>
          <w:t>reasonable grounds</w:t>
        </w:r>
      </w:hyperlink>
      <w:r w:rsidRPr="00985D71">
        <w:t xml:space="preserve"> for making the representation</w:t>
      </w:r>
      <w:r>
        <w:t xml:space="preserve"> </w:t>
      </w:r>
      <w:r w:rsidRPr="006C431C">
        <w:rPr>
          <w:rStyle w:val="ReferenceChar"/>
        </w:rPr>
        <w:t>[Rules paragraph 148(1)(c)]</w:t>
      </w:r>
      <w:r w:rsidRPr="00784226">
        <w:rPr>
          <w:color w:val="3333FF"/>
          <w:sz w:val="16"/>
          <w:szCs w:val="16"/>
        </w:rPr>
        <w:t xml:space="preserve"> </w:t>
      </w:r>
    </w:p>
    <w:p w14:paraId="15EAD356" w14:textId="77777777" w:rsidR="00F264CD" w:rsidRPr="00771937" w:rsidRDefault="00F264CD" w:rsidP="00A0727A">
      <w:pPr>
        <w:pStyle w:val="ListBullet"/>
        <w:numPr>
          <w:ilvl w:val="0"/>
          <w:numId w:val="74"/>
        </w:numPr>
      </w:pPr>
      <w:r w:rsidRPr="00771937">
        <w:t>advertising tuition fees for the course where there are reasonable grounds for believing that the provider will not be able to provide the course for those fees</w:t>
      </w:r>
      <w:r>
        <w:t xml:space="preserve"> </w:t>
      </w:r>
      <w:r w:rsidRPr="006C431C">
        <w:rPr>
          <w:rStyle w:val="ReferenceChar"/>
        </w:rPr>
        <w:t>[Rules paragraph 148(1)(d)]</w:t>
      </w:r>
    </w:p>
    <w:p w14:paraId="6CBA5A57" w14:textId="77777777" w:rsidR="00F264CD" w:rsidRPr="004C7DA4" w:rsidRDefault="00F264CD" w:rsidP="00A0727A">
      <w:pPr>
        <w:pStyle w:val="ListBullet"/>
        <w:numPr>
          <w:ilvl w:val="0"/>
          <w:numId w:val="74"/>
        </w:numPr>
      </w:pPr>
      <w:r w:rsidRPr="00771937">
        <w:t>use of physical force, or harassment or coercion, in connection with the application or enrolment</w:t>
      </w:r>
      <w:r w:rsidRPr="00736F23">
        <w:t xml:space="preserve"> in the course</w:t>
      </w:r>
      <w:r w:rsidRPr="006C431C">
        <w:rPr>
          <w:rStyle w:val="ReferenceChar"/>
        </w:rPr>
        <w:t xml:space="preserve"> [Rules paragraph 148(1)(e)]</w:t>
      </w:r>
    </w:p>
    <w:p w14:paraId="44289C1D" w14:textId="77777777" w:rsidR="00F264CD" w:rsidRPr="004C7DA4" w:rsidRDefault="00F264CD" w:rsidP="00F264CD">
      <w:r w:rsidRPr="006D4977">
        <w:t>These definitions do not limit one another</w:t>
      </w:r>
      <w:r w:rsidRPr="004C7DA4">
        <w:t xml:space="preserve"> </w:t>
      </w:r>
      <w:r w:rsidRPr="006C431C">
        <w:rPr>
          <w:rStyle w:val="ReferenceChar"/>
        </w:rPr>
        <w:t>[Rules s 148(2)]</w:t>
      </w:r>
      <w:r w:rsidRPr="004C7DA4">
        <w:t>.</w:t>
      </w:r>
    </w:p>
    <w:p w14:paraId="64F9DC93" w14:textId="29273F5D" w:rsidR="00F264CD" w:rsidRPr="00596137" w:rsidRDefault="00F264CD" w:rsidP="00596137">
      <w:pPr>
        <w:pStyle w:val="Heading5"/>
      </w:pPr>
      <w:r w:rsidRPr="00596137">
        <w:t>Making of a representation with respect to any future matter etc -</w:t>
      </w:r>
      <w:r w:rsidRPr="00596137" w:rsidDel="006D4977">
        <w:t xml:space="preserve"> </w:t>
      </w:r>
      <w:r w:rsidRPr="00596137">
        <w:t>guidance about what this means</w:t>
      </w:r>
    </w:p>
    <w:p w14:paraId="608FDDA6" w14:textId="77777777" w:rsidR="00F264CD" w:rsidRPr="00985D71" w:rsidRDefault="00F264CD" w:rsidP="00A0727A">
      <w:pPr>
        <w:pStyle w:val="ListBullet"/>
        <w:numPr>
          <w:ilvl w:val="0"/>
          <w:numId w:val="74"/>
        </w:numPr>
      </w:pPr>
      <w:r w:rsidRPr="006C431C">
        <w:rPr>
          <w:rStyle w:val="Strong"/>
        </w:rPr>
        <w:t>making of a representation</w:t>
      </w:r>
      <w:r w:rsidRPr="00985D71">
        <w:t xml:space="preserve"> means through words or actions stating or suggesting something. </w:t>
      </w:r>
    </w:p>
    <w:p w14:paraId="0A3718E0" w14:textId="77777777" w:rsidR="00F264CD" w:rsidRPr="00985D71" w:rsidRDefault="00F264CD" w:rsidP="00A0727A">
      <w:pPr>
        <w:pStyle w:val="ListBullet"/>
        <w:numPr>
          <w:ilvl w:val="0"/>
          <w:numId w:val="74"/>
        </w:numPr>
      </w:pPr>
      <w:r w:rsidRPr="00985D71">
        <w:t>For example</w:t>
      </w:r>
      <w:r>
        <w:t>,</w:t>
      </w:r>
      <w:r w:rsidRPr="00985D71">
        <w:t xml:space="preserve"> this would cover a statement made in a provider’s promotional material or made verbally to a s</w:t>
      </w:r>
      <w:r>
        <w:t>tudent when they were enrolling.</w:t>
      </w:r>
      <w:r w:rsidRPr="00985D71">
        <w:t xml:space="preserve"> </w:t>
      </w:r>
    </w:p>
    <w:p w14:paraId="7EC20E9B" w14:textId="77777777" w:rsidR="00F264CD" w:rsidRPr="00985D71" w:rsidRDefault="00F264CD" w:rsidP="00A0727A">
      <w:pPr>
        <w:pStyle w:val="ListBullet"/>
        <w:numPr>
          <w:ilvl w:val="0"/>
          <w:numId w:val="74"/>
        </w:numPr>
      </w:pPr>
      <w:r w:rsidRPr="006C431C">
        <w:rPr>
          <w:rStyle w:val="Strong"/>
        </w:rPr>
        <w:t>future matter</w:t>
      </w:r>
      <w:r w:rsidRPr="00985D71">
        <w:t xml:space="preserve"> means anything that is to happen in the future, whether it is a prediction, a forecast or a certainty. </w:t>
      </w:r>
    </w:p>
    <w:p w14:paraId="75B74A37" w14:textId="77777777" w:rsidR="00F264CD" w:rsidRPr="00985D71" w:rsidRDefault="00F264CD" w:rsidP="00A0727A">
      <w:pPr>
        <w:pStyle w:val="ListBullet"/>
        <w:numPr>
          <w:ilvl w:val="0"/>
          <w:numId w:val="74"/>
        </w:numPr>
      </w:pPr>
      <w:r w:rsidRPr="00985D71">
        <w:t>For example</w:t>
      </w:r>
      <w:r>
        <w:t>,</w:t>
      </w:r>
      <w:r w:rsidRPr="00985D71">
        <w:t xml:space="preserve"> this would include whether a course will be an approved course in the future, or whether the provider will be approved under the V</w:t>
      </w:r>
      <w:r>
        <w:t xml:space="preserve">ET </w:t>
      </w:r>
      <w:r w:rsidRPr="00985D71">
        <w:t>S</w:t>
      </w:r>
      <w:r>
        <w:t xml:space="preserve">tudent </w:t>
      </w:r>
      <w:r w:rsidRPr="00985D71">
        <w:t>L</w:t>
      </w:r>
      <w:r>
        <w:t>oans</w:t>
      </w:r>
      <w:r w:rsidRPr="00985D71">
        <w:t xml:space="preserve"> program.</w:t>
      </w:r>
    </w:p>
    <w:p w14:paraId="13A70E34" w14:textId="77777777" w:rsidR="00F264CD" w:rsidRPr="00985D71" w:rsidRDefault="00F264CD" w:rsidP="00A0727A">
      <w:pPr>
        <w:pStyle w:val="ListBullet"/>
        <w:numPr>
          <w:ilvl w:val="0"/>
          <w:numId w:val="74"/>
        </w:numPr>
      </w:pPr>
      <w:r w:rsidRPr="006C431C">
        <w:rPr>
          <w:rStyle w:val="Strong"/>
        </w:rPr>
        <w:t>reasonable grounds</w:t>
      </w:r>
      <w:r w:rsidRPr="00985D71">
        <w:t xml:space="preserve"> means knowledge or evidence which would lead a reasonable person to come to the same conclusion. </w:t>
      </w:r>
    </w:p>
    <w:p w14:paraId="0AD89BDD" w14:textId="77777777" w:rsidR="00F264CD" w:rsidRPr="004C7DA4" w:rsidRDefault="00F264CD" w:rsidP="00A0727A">
      <w:pPr>
        <w:pStyle w:val="ListBullet"/>
        <w:numPr>
          <w:ilvl w:val="0"/>
          <w:numId w:val="74"/>
        </w:numPr>
      </w:pPr>
      <w:r w:rsidRPr="004C7DA4">
        <w:t xml:space="preserve">For example, if a provider has received a letter of </w:t>
      </w:r>
      <w:r>
        <w:t>confirmation</w:t>
      </w:r>
      <w:r w:rsidRPr="004C7DA4">
        <w:t xml:space="preserve"> from the department </w:t>
      </w:r>
      <w:r>
        <w:t xml:space="preserve">about a particular matter </w:t>
      </w:r>
      <w:r w:rsidRPr="004C7DA4">
        <w:t>then this would be ‘reasonable grounds’</w:t>
      </w:r>
      <w:r>
        <w:t xml:space="preserve"> for believing that it would occur</w:t>
      </w:r>
      <w:r w:rsidRPr="004C7DA4">
        <w:t xml:space="preserve">, but if the provider has heard this from a friend of a friend </w:t>
      </w:r>
      <w:r>
        <w:t>about a particular matter</w:t>
      </w:r>
      <w:r w:rsidRPr="004C7DA4">
        <w:t xml:space="preserve">, then this would not be </w:t>
      </w:r>
      <w:r>
        <w:t>reasonable grounds.</w:t>
      </w:r>
    </w:p>
    <w:p w14:paraId="5B0DCDBE" w14:textId="77777777" w:rsidR="00F264CD" w:rsidRDefault="00F264CD" w:rsidP="00F15113">
      <w:pPr>
        <w:keepNext/>
        <w:keepLines/>
      </w:pPr>
      <w:r w:rsidRPr="00985D71">
        <w:lastRenderedPageBreak/>
        <w:t>For example under paragraph 148(1)(c)</w:t>
      </w:r>
      <w:r>
        <w:t xml:space="preserve"> of the Rules</w:t>
      </w:r>
      <w:r w:rsidRPr="00985D71">
        <w:t xml:space="preserve"> </w:t>
      </w:r>
      <w:r>
        <w:t>it is</w:t>
      </w:r>
      <w:r w:rsidRPr="00985D71">
        <w:t xml:space="preserve"> unacceptable conduct for</w:t>
      </w:r>
      <w:r>
        <w:t xml:space="preserve"> </w:t>
      </w:r>
      <w:r w:rsidRPr="00985D71">
        <w:t>a provider to</w:t>
      </w:r>
      <w:r>
        <w:t xml:space="preserve">: </w:t>
      </w:r>
    </w:p>
    <w:p w14:paraId="3B9AE5B7" w14:textId="77777777" w:rsidR="00F264CD" w:rsidRPr="002230F7" w:rsidRDefault="00F264CD" w:rsidP="00A0727A">
      <w:pPr>
        <w:pStyle w:val="ListBullet"/>
        <w:numPr>
          <w:ilvl w:val="0"/>
          <w:numId w:val="74"/>
        </w:numPr>
      </w:pPr>
      <w:r w:rsidRPr="002230F7">
        <w:t xml:space="preserve">tell a student that they should enrol in a course as VET Student Loans will be available for the course in the future when there is no basis for this; or </w:t>
      </w:r>
    </w:p>
    <w:p w14:paraId="406B6257" w14:textId="77777777" w:rsidR="00F264CD" w:rsidRPr="002230F7" w:rsidRDefault="00F264CD" w:rsidP="00A0727A">
      <w:pPr>
        <w:pStyle w:val="ListBullet"/>
        <w:numPr>
          <w:ilvl w:val="0"/>
          <w:numId w:val="74"/>
        </w:numPr>
      </w:pPr>
      <w:r w:rsidRPr="002230F7">
        <w:t>suggest that the provider’s fee limit or conditions of approval allow it to enrol a student in a course on the basis that a VET student loan will be available, when its provider fee limit or condition of approval does not allow this.</w:t>
      </w:r>
    </w:p>
    <w:p w14:paraId="72A87AAB" w14:textId="77777777" w:rsidR="00F264CD" w:rsidRPr="00293C00" w:rsidRDefault="00F264CD" w:rsidP="00596137">
      <w:pPr>
        <w:pStyle w:val="Heading5"/>
      </w:pPr>
      <w:r w:rsidRPr="00293C00">
        <w:t>What is unconscionable conduct?</w:t>
      </w:r>
    </w:p>
    <w:p w14:paraId="4476F4DF" w14:textId="77777777" w:rsidR="00F264CD" w:rsidRPr="00771937" w:rsidRDefault="00F264CD" w:rsidP="00F264CD">
      <w:r w:rsidRPr="00771937">
        <w:t>In deciding whether conduct is unconscionable, the Secretary may have regard to the following</w:t>
      </w:r>
      <w:r>
        <w:t xml:space="preserve"> </w:t>
      </w:r>
      <w:r>
        <w:rPr>
          <w:rStyle w:val="ReferenceChar"/>
        </w:rPr>
        <w:t>[Rules </w:t>
      </w:r>
      <w:r w:rsidRPr="006C431C">
        <w:rPr>
          <w:rStyle w:val="ReferenceChar"/>
        </w:rPr>
        <w:t>s</w:t>
      </w:r>
      <w:r>
        <w:rPr>
          <w:rStyle w:val="ReferenceChar"/>
        </w:rPr>
        <w:t> </w:t>
      </w:r>
      <w:r w:rsidRPr="006C431C">
        <w:rPr>
          <w:rStyle w:val="ReferenceChar"/>
        </w:rPr>
        <w:t>148(3)]</w:t>
      </w:r>
      <w:r w:rsidRPr="00771937">
        <w:t>:</w:t>
      </w:r>
    </w:p>
    <w:p w14:paraId="229CE781" w14:textId="77777777" w:rsidR="00F264CD" w:rsidRPr="00771937" w:rsidRDefault="00F264CD" w:rsidP="00A0727A">
      <w:pPr>
        <w:pStyle w:val="ListBullet"/>
        <w:numPr>
          <w:ilvl w:val="0"/>
          <w:numId w:val="74"/>
        </w:numPr>
      </w:pPr>
      <w:r w:rsidRPr="00771937">
        <w:t>the relative strengths of the bargaining positions of the persons concerned</w:t>
      </w:r>
    </w:p>
    <w:p w14:paraId="786A0731" w14:textId="77777777" w:rsidR="00F264CD" w:rsidRPr="00771937" w:rsidRDefault="00F264CD" w:rsidP="00A0727A">
      <w:pPr>
        <w:pStyle w:val="ListBullet"/>
        <w:numPr>
          <w:ilvl w:val="0"/>
          <w:numId w:val="74"/>
        </w:numPr>
      </w:pPr>
      <w:r w:rsidRPr="00771937">
        <w:t>whether the student was required to comply with conditions that were not reasonably necessary for the protection of the legitimate interests of another person</w:t>
      </w:r>
    </w:p>
    <w:p w14:paraId="16A2E002" w14:textId="77777777" w:rsidR="00F264CD" w:rsidRPr="00771937" w:rsidRDefault="00F264CD" w:rsidP="00A0727A">
      <w:pPr>
        <w:pStyle w:val="ListBullet"/>
        <w:numPr>
          <w:ilvl w:val="0"/>
          <w:numId w:val="74"/>
        </w:numPr>
      </w:pPr>
      <w:r w:rsidRPr="00771937">
        <w:t xml:space="preserve">whether the student was able to understand any documents related to the </w:t>
      </w:r>
      <w:r w:rsidRPr="00766D81">
        <w:t>application</w:t>
      </w:r>
      <w:r w:rsidRPr="00771937">
        <w:t xml:space="preserve"> for the VET </w:t>
      </w:r>
      <w:r>
        <w:t>S</w:t>
      </w:r>
      <w:r w:rsidRPr="00771937">
        <w:t>tudent loan</w:t>
      </w:r>
    </w:p>
    <w:p w14:paraId="0178744A" w14:textId="77777777" w:rsidR="00F264CD" w:rsidRPr="00771937" w:rsidRDefault="00F264CD" w:rsidP="00A0727A">
      <w:pPr>
        <w:pStyle w:val="ListBullet"/>
        <w:numPr>
          <w:ilvl w:val="0"/>
          <w:numId w:val="74"/>
        </w:numPr>
      </w:pPr>
      <w:r w:rsidRPr="00771937">
        <w:t>whether any undue influence or pressure was exerted on, or any unfair tactics were used against, the student or a person acting on behalf of the student</w:t>
      </w:r>
    </w:p>
    <w:p w14:paraId="0511D9E8" w14:textId="77777777" w:rsidR="00F264CD" w:rsidRDefault="00F264CD" w:rsidP="00A0727A">
      <w:pPr>
        <w:pStyle w:val="ListBullet"/>
        <w:numPr>
          <w:ilvl w:val="0"/>
          <w:numId w:val="74"/>
        </w:numPr>
      </w:pPr>
      <w:r w:rsidRPr="00771937">
        <w:t xml:space="preserve">whether the provider, or person acting on the provider’s behalf, failed to disclose </w:t>
      </w:r>
      <w:r w:rsidRPr="00766D81">
        <w:t>anything to the student</w:t>
      </w:r>
    </w:p>
    <w:p w14:paraId="18E15467" w14:textId="77777777" w:rsidR="00F264CD" w:rsidRPr="00766D81" w:rsidRDefault="00F264CD" w:rsidP="00A0727A">
      <w:pPr>
        <w:pStyle w:val="ListBullet"/>
        <w:numPr>
          <w:ilvl w:val="0"/>
          <w:numId w:val="74"/>
        </w:numPr>
      </w:pPr>
      <w:r w:rsidRPr="00766D81">
        <w:t>the extent to which the provider, or person acting on the provider’s behalf, acted in good faith.</w:t>
      </w:r>
    </w:p>
    <w:p w14:paraId="176FBE75" w14:textId="77777777" w:rsidR="00F264CD" w:rsidRPr="00A443F2" w:rsidRDefault="00F264CD" w:rsidP="00596137">
      <w:pPr>
        <w:pStyle w:val="Heading5"/>
      </w:pPr>
      <w:r w:rsidRPr="00A106F8">
        <w:t>Timing</w:t>
      </w:r>
    </w:p>
    <w:p w14:paraId="34EA4A34" w14:textId="77777777" w:rsidR="00F264CD" w:rsidRDefault="00F264CD" w:rsidP="00F264CD">
      <w:pPr>
        <w:rPr>
          <w:lang w:eastAsia="en-AU"/>
        </w:rPr>
      </w:pPr>
      <w:r w:rsidRPr="00736F23">
        <w:rPr>
          <w:lang w:eastAsia="en-AU"/>
        </w:rPr>
        <w:t>A student has 5 years from the census day for the course or part of the course concerned</w:t>
      </w:r>
      <w:r>
        <w:rPr>
          <w:lang w:eastAsia="en-AU"/>
        </w:rPr>
        <w:t xml:space="preserve"> </w:t>
      </w:r>
      <w:r w:rsidRPr="00766D81">
        <w:rPr>
          <w:lang w:eastAsia="en-AU"/>
        </w:rPr>
        <w:t>to</w:t>
      </w:r>
      <w:r>
        <w:rPr>
          <w:lang w:eastAsia="en-AU"/>
        </w:rPr>
        <w:t xml:space="preserve"> apply for a re-credit of their FEE-HELP balance based on provider </w:t>
      </w:r>
      <w:hyperlink w:anchor="_Unacceptable_conduct" w:history="1">
        <w:r w:rsidRPr="006C431C">
          <w:rPr>
            <w:rStyle w:val="Hyperlink"/>
          </w:rPr>
          <w:t>unacceptable conduct</w:t>
        </w:r>
      </w:hyperlink>
      <w:r>
        <w:rPr>
          <w:lang w:eastAsia="en-AU"/>
        </w:rPr>
        <w:t xml:space="preserve"> or the circumstances set out in subsection 71(3) and 71(4) of the Act </w:t>
      </w:r>
      <w:r w:rsidRPr="006C431C">
        <w:rPr>
          <w:rStyle w:val="ReferenceChar"/>
        </w:rPr>
        <w:t>[Rules s 149(2)]</w:t>
      </w:r>
      <w:r w:rsidRPr="00736F23">
        <w:rPr>
          <w:lang w:eastAsia="en-AU"/>
        </w:rPr>
        <w:t>. However</w:t>
      </w:r>
      <w:r>
        <w:rPr>
          <w:lang w:eastAsia="en-AU"/>
        </w:rPr>
        <w:t>,</w:t>
      </w:r>
      <w:r w:rsidRPr="00736F23">
        <w:rPr>
          <w:lang w:eastAsia="en-AU"/>
        </w:rPr>
        <w:t xml:space="preserve"> the Secretary may extend this period</w:t>
      </w:r>
      <w:r>
        <w:rPr>
          <w:lang w:eastAsia="en-AU"/>
        </w:rPr>
        <w:t xml:space="preserve"> </w:t>
      </w:r>
      <w:r w:rsidRPr="006C431C">
        <w:rPr>
          <w:rStyle w:val="ReferenceChar"/>
        </w:rPr>
        <w:t>[Rules s 149(3)]</w:t>
      </w:r>
      <w:r w:rsidRPr="00736F23">
        <w:rPr>
          <w:lang w:eastAsia="en-AU"/>
        </w:rPr>
        <w:t>.</w:t>
      </w:r>
    </w:p>
    <w:p w14:paraId="1B2D85AA" w14:textId="77777777" w:rsidR="00F264CD" w:rsidRPr="007170D9" w:rsidRDefault="00F264CD" w:rsidP="00596137">
      <w:pPr>
        <w:pStyle w:val="Heading5"/>
      </w:pPr>
      <w:r w:rsidRPr="007170D9">
        <w:t>Applications</w:t>
      </w:r>
    </w:p>
    <w:p w14:paraId="3C6D8F78" w14:textId="77777777" w:rsidR="00F264CD" w:rsidRPr="003D2838" w:rsidRDefault="00F264CD" w:rsidP="00F264CD">
      <w:pPr>
        <w:pStyle w:val="Normal-aftertable"/>
        <w:rPr>
          <w:lang w:eastAsia="en-AU"/>
        </w:rPr>
      </w:pPr>
      <w:r w:rsidRPr="003D2838">
        <w:rPr>
          <w:lang w:eastAsia="en-AU"/>
        </w:rPr>
        <w:t>The application must set out the grounds on which the applicant’s FEE</w:t>
      </w:r>
      <w:r w:rsidRPr="003D2838">
        <w:rPr>
          <w:lang w:eastAsia="en-AU"/>
        </w:rPr>
        <w:noBreakHyphen/>
        <w:t>HELP balance is to be re</w:t>
      </w:r>
      <w:r w:rsidRPr="003D2838">
        <w:rPr>
          <w:lang w:eastAsia="en-AU"/>
        </w:rPr>
        <w:noBreakHyphen/>
        <w:t xml:space="preserve">credited </w:t>
      </w:r>
      <w:r w:rsidRPr="00DE1A51">
        <w:rPr>
          <w:rStyle w:val="ReferenceChar"/>
        </w:rPr>
        <w:t>[Rules 149(4)]</w:t>
      </w:r>
      <w:r w:rsidRPr="003D2838">
        <w:rPr>
          <w:lang w:eastAsia="en-AU"/>
        </w:rPr>
        <w:t>.</w:t>
      </w:r>
    </w:p>
    <w:p w14:paraId="5225B7B9" w14:textId="77777777" w:rsidR="00F264CD" w:rsidRPr="003D2838" w:rsidRDefault="00F264CD" w:rsidP="00F264CD">
      <w:r w:rsidRPr="003D2838">
        <w:t>The application must include the following to the extent that they are known to the applicant</w:t>
      </w:r>
      <w:r>
        <w:t xml:space="preserve"> </w:t>
      </w:r>
      <w:r w:rsidRPr="00DE1A51">
        <w:rPr>
          <w:rStyle w:val="ReferenceChar"/>
        </w:rPr>
        <w:t>[Rules</w:t>
      </w:r>
      <w:r>
        <w:rPr>
          <w:rStyle w:val="ReferenceChar"/>
        </w:rPr>
        <w:t> </w:t>
      </w:r>
      <w:r w:rsidRPr="00DE1A51">
        <w:rPr>
          <w:rStyle w:val="ReferenceChar"/>
        </w:rPr>
        <w:t>149(5)]</w:t>
      </w:r>
      <w:r w:rsidRPr="003D2838">
        <w:t>:</w:t>
      </w:r>
    </w:p>
    <w:p w14:paraId="0C0618D7" w14:textId="77777777" w:rsidR="00F264CD" w:rsidRPr="00766D81" w:rsidRDefault="00F264CD" w:rsidP="00A0727A">
      <w:pPr>
        <w:pStyle w:val="ListBullet"/>
        <w:numPr>
          <w:ilvl w:val="0"/>
          <w:numId w:val="74"/>
        </w:numPr>
      </w:pPr>
      <w:r w:rsidRPr="00766D81">
        <w:t>details of the course to which the application relates</w:t>
      </w:r>
    </w:p>
    <w:p w14:paraId="60F3A168" w14:textId="77777777" w:rsidR="00F264CD" w:rsidRPr="00766D81" w:rsidRDefault="00F264CD" w:rsidP="00A0727A">
      <w:pPr>
        <w:pStyle w:val="ListBullet"/>
        <w:numPr>
          <w:ilvl w:val="0"/>
          <w:numId w:val="74"/>
        </w:numPr>
      </w:pPr>
      <w:r w:rsidRPr="00766D81">
        <w:t>details of the provider of that course</w:t>
      </w:r>
    </w:p>
    <w:p w14:paraId="7D84008C" w14:textId="77777777" w:rsidR="00F264CD" w:rsidRPr="00766D81" w:rsidRDefault="00F264CD" w:rsidP="00A0727A">
      <w:pPr>
        <w:pStyle w:val="ListBullet"/>
        <w:numPr>
          <w:ilvl w:val="0"/>
          <w:numId w:val="74"/>
        </w:numPr>
      </w:pPr>
      <w:r w:rsidRPr="00766D81">
        <w:t>the loan amount that is to be re</w:t>
      </w:r>
      <w:r w:rsidRPr="00766D81">
        <w:noBreakHyphen/>
        <w:t>credited</w:t>
      </w:r>
    </w:p>
    <w:p w14:paraId="4C15FF08" w14:textId="77777777" w:rsidR="00F264CD" w:rsidRPr="00766D81" w:rsidRDefault="00F264CD" w:rsidP="00A0727A">
      <w:pPr>
        <w:pStyle w:val="ListBullet"/>
        <w:numPr>
          <w:ilvl w:val="0"/>
          <w:numId w:val="74"/>
        </w:numPr>
      </w:pPr>
      <w:r w:rsidRPr="00766D81">
        <w:t>the applicant’s student identifier (if any)</w:t>
      </w:r>
      <w:r>
        <w:t>,</w:t>
      </w:r>
      <w:r w:rsidRPr="00766D81">
        <w:t xml:space="preserve"> and </w:t>
      </w:r>
    </w:p>
    <w:p w14:paraId="02E5BFA2" w14:textId="77777777" w:rsidR="00F264CD" w:rsidRPr="003D2838" w:rsidRDefault="00F264CD" w:rsidP="00A0727A">
      <w:pPr>
        <w:pStyle w:val="ListBullet"/>
        <w:numPr>
          <w:ilvl w:val="0"/>
          <w:numId w:val="74"/>
        </w:numPr>
      </w:pPr>
      <w:r w:rsidRPr="00766D81">
        <w:t>any</w:t>
      </w:r>
      <w:r w:rsidRPr="003D2838">
        <w:t xml:space="preserve"> documents supporting the application.</w:t>
      </w:r>
    </w:p>
    <w:p w14:paraId="42F568A4" w14:textId="77777777" w:rsidR="00F264CD" w:rsidRPr="007170D9" w:rsidRDefault="00F264CD" w:rsidP="00596137">
      <w:pPr>
        <w:pStyle w:val="Heading5"/>
      </w:pPr>
      <w:r w:rsidRPr="007170D9">
        <w:t>Application process</w:t>
      </w:r>
    </w:p>
    <w:p w14:paraId="5BBC3DA9" w14:textId="77777777" w:rsidR="00F264CD" w:rsidRPr="00736F23" w:rsidRDefault="00F264CD" w:rsidP="00F264CD">
      <w:pPr>
        <w:rPr>
          <w:lang w:eastAsia="en-AU"/>
        </w:rPr>
      </w:pPr>
      <w:r w:rsidRPr="00736F23">
        <w:rPr>
          <w:lang w:eastAsia="en-AU"/>
        </w:rPr>
        <w:t xml:space="preserve">The department will assess an application by a student for re-credit of their FEE-HELP balance in cases of provider or agent unacceptable conduct. Before making a decision, the delegate for the Secretary of the department must give to the provider a notice in writing stating they are considering making the decision. The notice will describe the proposed decision and state the reasons why the delegate is considering making it. </w:t>
      </w:r>
    </w:p>
    <w:p w14:paraId="5F966452" w14:textId="77777777" w:rsidR="00F264CD" w:rsidRPr="00736F23" w:rsidRDefault="00F264CD" w:rsidP="00F264CD">
      <w:pPr>
        <w:rPr>
          <w:lang w:eastAsia="en-AU"/>
        </w:rPr>
      </w:pPr>
      <w:r w:rsidRPr="00736F23">
        <w:rPr>
          <w:lang w:eastAsia="en-AU"/>
        </w:rPr>
        <w:t xml:space="preserve">The notice will invite the provider to make </w:t>
      </w:r>
      <w:r>
        <w:rPr>
          <w:lang w:eastAsia="en-AU"/>
        </w:rPr>
        <w:t xml:space="preserve">a </w:t>
      </w:r>
      <w:r w:rsidRPr="00736F23">
        <w:rPr>
          <w:lang w:eastAsia="en-AU"/>
        </w:rPr>
        <w:t xml:space="preserve">written submission to the department (within 28 days) on why that decision should not be made. In deciding whether to make the decision the delegate must consider any submissions received within the 28 day period. </w:t>
      </w:r>
    </w:p>
    <w:p w14:paraId="27937528" w14:textId="77777777" w:rsidR="00F264CD" w:rsidRPr="00736F23" w:rsidRDefault="00F264CD" w:rsidP="00F264CD">
      <w:pPr>
        <w:rPr>
          <w:lang w:eastAsia="en-AU"/>
        </w:rPr>
      </w:pPr>
      <w:r w:rsidRPr="00736F23">
        <w:rPr>
          <w:lang w:eastAsia="en-AU"/>
        </w:rPr>
        <w:lastRenderedPageBreak/>
        <w:t>The delegate will give the student and the provider a written notice of the decision</w:t>
      </w:r>
      <w:r>
        <w:rPr>
          <w:lang w:eastAsia="en-AU"/>
        </w:rPr>
        <w:t xml:space="preserve"> and reasons for the decision as soon as practicable after </w:t>
      </w:r>
      <w:r w:rsidRPr="00736F23">
        <w:rPr>
          <w:lang w:eastAsia="en-AU"/>
        </w:rPr>
        <w:t xml:space="preserve">the decision </w:t>
      </w:r>
      <w:r>
        <w:rPr>
          <w:lang w:eastAsia="en-AU"/>
        </w:rPr>
        <w:t xml:space="preserve">is </w:t>
      </w:r>
      <w:r w:rsidRPr="00736F23">
        <w:rPr>
          <w:lang w:eastAsia="en-AU"/>
        </w:rPr>
        <w:t xml:space="preserve">made. </w:t>
      </w:r>
    </w:p>
    <w:p w14:paraId="5F02516D" w14:textId="77777777" w:rsidR="00F264CD" w:rsidRPr="00736F23" w:rsidRDefault="00F264CD" w:rsidP="00F264CD">
      <w:pPr>
        <w:rPr>
          <w:lang w:eastAsia="en-AU"/>
        </w:rPr>
      </w:pPr>
      <w:r w:rsidRPr="00736F23">
        <w:rPr>
          <w:lang w:eastAsia="en-AU"/>
        </w:rPr>
        <w:t xml:space="preserve">Students wanting more information should be directed to </w:t>
      </w:r>
      <w:r>
        <w:rPr>
          <w:lang w:eastAsia="en-AU"/>
        </w:rPr>
        <w:t xml:space="preserve">the ‘Debt complaints’ page at </w:t>
      </w:r>
      <w:hyperlink r:id="rId100" w:history="1">
        <w:r w:rsidRPr="00E37565">
          <w:rPr>
            <w:rStyle w:val="Hyperlink"/>
            <w:lang w:eastAsia="en-AU"/>
          </w:rPr>
          <w:t>www.education.gov.au/debt-complaints</w:t>
        </w:r>
      </w:hyperlink>
      <w:r>
        <w:rPr>
          <w:lang w:eastAsia="en-AU"/>
        </w:rPr>
        <w:t xml:space="preserve"> .</w:t>
      </w:r>
    </w:p>
    <w:p w14:paraId="76FAB0E4" w14:textId="36349C5A" w:rsidR="00F264CD" w:rsidRDefault="00F264CD" w:rsidP="00F264CD">
      <w:pPr>
        <w:rPr>
          <w:b/>
          <w:i/>
          <w:lang w:eastAsia="en-AU"/>
        </w:rPr>
      </w:pPr>
      <w:r w:rsidRPr="00736F23">
        <w:rPr>
          <w:lang w:eastAsia="en-AU"/>
        </w:rPr>
        <w:t xml:space="preserve">The </w:t>
      </w:r>
      <w:r w:rsidRPr="00736F23">
        <w:rPr>
          <w:i/>
          <w:lang w:val="en" w:eastAsia="en-AU"/>
        </w:rPr>
        <w:t>Cancellation of a VET Student Loan Debt (unacceptable conduct</w:t>
      </w:r>
      <w:r w:rsidRPr="00766D81">
        <w:rPr>
          <w:i/>
          <w:lang w:val="en" w:eastAsia="en-AU"/>
        </w:rPr>
        <w:t xml:space="preserve">) Application </w:t>
      </w:r>
      <w:r>
        <w:rPr>
          <w:i/>
          <w:lang w:val="en" w:eastAsia="en-AU"/>
        </w:rPr>
        <w:t xml:space="preserve">is </w:t>
      </w:r>
      <w:r w:rsidRPr="00E0334D">
        <w:rPr>
          <w:lang w:val="en" w:eastAsia="en-AU"/>
        </w:rPr>
        <w:t>link</w:t>
      </w:r>
      <w:r>
        <w:rPr>
          <w:lang w:val="en" w:eastAsia="en-AU"/>
        </w:rPr>
        <w:t>ed</w:t>
      </w:r>
      <w:r w:rsidRPr="00E0334D">
        <w:rPr>
          <w:lang w:val="en" w:eastAsia="en-AU"/>
        </w:rPr>
        <w:t xml:space="preserve"> </w:t>
      </w:r>
      <w:r>
        <w:rPr>
          <w:lang w:eastAsia="en-AU"/>
        </w:rPr>
        <w:t>to</w:t>
      </w:r>
      <w:r w:rsidRPr="00E0334D">
        <w:rPr>
          <w:lang w:eastAsia="en-AU"/>
        </w:rPr>
        <w:t xml:space="preserve"> this page</w:t>
      </w:r>
      <w:r w:rsidRPr="00E40940">
        <w:rPr>
          <w:b/>
          <w:i/>
          <w:lang w:eastAsia="en-AU"/>
        </w:rPr>
        <w:t>.</w:t>
      </w:r>
    </w:p>
    <w:p w14:paraId="30686974" w14:textId="1CCA423D" w:rsidR="008A0630" w:rsidRPr="00736F23" w:rsidRDefault="008A0630" w:rsidP="008A0630">
      <w:pPr>
        <w:pStyle w:val="Heading3"/>
      </w:pPr>
      <w:bookmarkStart w:id="2727" w:name="_Toc471300329"/>
      <w:bookmarkStart w:id="2728" w:name="_Toc471305828"/>
      <w:bookmarkStart w:id="2729" w:name="_Toc471306428"/>
      <w:bookmarkStart w:id="2730" w:name="_Toc471306944"/>
      <w:bookmarkStart w:id="2731" w:name="_Toc471307717"/>
      <w:bookmarkStart w:id="2732" w:name="_Toc471368825"/>
      <w:bookmarkStart w:id="2733" w:name="_Toc471374175"/>
      <w:bookmarkStart w:id="2734" w:name="_Toc471374450"/>
      <w:bookmarkStart w:id="2735" w:name="_Toc471300330"/>
      <w:bookmarkStart w:id="2736" w:name="_Toc471305829"/>
      <w:bookmarkStart w:id="2737" w:name="_Toc471306429"/>
      <w:bookmarkStart w:id="2738" w:name="_Toc471306945"/>
      <w:bookmarkStart w:id="2739" w:name="_Toc471307718"/>
      <w:bookmarkStart w:id="2740" w:name="_Toc471368826"/>
      <w:bookmarkStart w:id="2741" w:name="_Toc471374176"/>
      <w:bookmarkStart w:id="2742" w:name="_Toc471374451"/>
      <w:bookmarkStart w:id="2743" w:name="_Census_Days"/>
      <w:bookmarkStart w:id="2744" w:name="_4.9_Census_Days"/>
      <w:bookmarkStart w:id="2745" w:name="_4.9_Census_Days_1"/>
      <w:bookmarkStart w:id="2746" w:name="_4.8.16__"/>
      <w:bookmarkStart w:id="2747" w:name="_Toc501621229"/>
      <w:bookmarkStart w:id="2748" w:name="_Toc471374452"/>
      <w:bookmarkStart w:id="2749" w:name="_Toc477960030"/>
      <w:bookmarkStart w:id="2750" w:name="_Toc483222920"/>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t xml:space="preserve">4.8.16   </w:t>
      </w:r>
      <w:r w:rsidRPr="00736F23">
        <w:t>Proce</w:t>
      </w:r>
      <w:r>
        <w:t>sses and procedures relating for handling information</w:t>
      </w:r>
      <w:bookmarkEnd w:id="2747"/>
    </w:p>
    <w:p w14:paraId="01972D8C" w14:textId="1AA03B81" w:rsidR="008A0630" w:rsidRDefault="00427ACC" w:rsidP="00427ACC">
      <w:r>
        <w:t xml:space="preserve">An approved provider must have processes and procedures for handling information </w:t>
      </w:r>
      <w:r w:rsidRPr="00DE1A51">
        <w:rPr>
          <w:rStyle w:val="ReferenceChar"/>
        </w:rPr>
        <w:t xml:space="preserve">[Rules </w:t>
      </w:r>
      <w:r>
        <w:rPr>
          <w:rStyle w:val="ReferenceChar"/>
        </w:rPr>
        <w:t>94</w:t>
      </w:r>
      <w:r w:rsidRPr="00DE1A51">
        <w:rPr>
          <w:rStyle w:val="ReferenceChar"/>
        </w:rPr>
        <w:t>(</w:t>
      </w:r>
      <w:r>
        <w:rPr>
          <w:rStyle w:val="ReferenceChar"/>
        </w:rPr>
        <w:t>1</w:t>
      </w:r>
      <w:r w:rsidRPr="00DE1A51">
        <w:rPr>
          <w:rStyle w:val="ReferenceChar"/>
        </w:rPr>
        <w:t>)]</w:t>
      </w:r>
      <w:r>
        <w:t>.</w:t>
      </w:r>
    </w:p>
    <w:p w14:paraId="4F1CB57A" w14:textId="39EB25E7" w:rsidR="00427ACC" w:rsidRDefault="00427ACC" w:rsidP="00427ACC">
      <w:r>
        <w:t>The processes and procedures must:</w:t>
      </w:r>
    </w:p>
    <w:p w14:paraId="0D19E6AA" w14:textId="10D88D1E" w:rsidR="00427ACC" w:rsidRDefault="00427ACC" w:rsidP="00A0727A">
      <w:pPr>
        <w:pStyle w:val="ListParagraph"/>
        <w:numPr>
          <w:ilvl w:val="0"/>
          <w:numId w:val="73"/>
        </w:numPr>
      </w:pPr>
      <w:r>
        <w:t>provider for the management of students’ personal information in accordance with the Australian Privacy Principles; and</w:t>
      </w:r>
    </w:p>
    <w:p w14:paraId="5EAA6EE5" w14:textId="23035B35" w:rsidR="00427ACC" w:rsidRDefault="00427ACC" w:rsidP="00A0727A">
      <w:pPr>
        <w:pStyle w:val="ListParagraph"/>
        <w:numPr>
          <w:ilvl w:val="0"/>
          <w:numId w:val="73"/>
        </w:numPr>
      </w:pPr>
      <w:r>
        <w:t>provide for students to access their personal information; and</w:t>
      </w:r>
    </w:p>
    <w:p w14:paraId="52CECD0E" w14:textId="543340DE" w:rsidR="00427ACC" w:rsidRDefault="00427ACC" w:rsidP="00A0727A">
      <w:pPr>
        <w:pStyle w:val="ListParagraph"/>
        <w:numPr>
          <w:ilvl w:val="0"/>
          <w:numId w:val="73"/>
        </w:numPr>
      </w:pPr>
      <w:r>
        <w:t>provider for students to have incorrect personal information corrected; and</w:t>
      </w:r>
    </w:p>
    <w:p w14:paraId="069FFDB1" w14:textId="22B59AE4" w:rsidR="00427ACC" w:rsidRDefault="00427ACC" w:rsidP="00A0727A">
      <w:pPr>
        <w:pStyle w:val="ListParagraph"/>
        <w:numPr>
          <w:ilvl w:val="0"/>
          <w:numId w:val="73"/>
        </w:numPr>
      </w:pPr>
      <w:r>
        <w:t>provide accurate information about the use and disclosure of personal information collected by the provider, including that the information may be disclosed to the Commonwealth and tuition assurance scheme operators</w:t>
      </w:r>
      <w:r w:rsidR="00033A42">
        <w:t xml:space="preserve"> </w:t>
      </w:r>
      <w:r w:rsidR="00033A42" w:rsidRPr="00DE1A51">
        <w:rPr>
          <w:rStyle w:val="ReferenceChar"/>
        </w:rPr>
        <w:t xml:space="preserve">[Rules </w:t>
      </w:r>
      <w:r w:rsidR="00033A42">
        <w:rPr>
          <w:rStyle w:val="ReferenceChar"/>
        </w:rPr>
        <w:t>94</w:t>
      </w:r>
      <w:r w:rsidR="00033A42" w:rsidRPr="00DE1A51">
        <w:rPr>
          <w:rStyle w:val="ReferenceChar"/>
        </w:rPr>
        <w:t>(</w:t>
      </w:r>
      <w:r w:rsidR="00033A42">
        <w:rPr>
          <w:rStyle w:val="ReferenceChar"/>
        </w:rPr>
        <w:t>2</w:t>
      </w:r>
      <w:r w:rsidR="00033A42" w:rsidRPr="00DE1A51">
        <w:rPr>
          <w:rStyle w:val="ReferenceChar"/>
        </w:rPr>
        <w:t>)]</w:t>
      </w:r>
      <w:r>
        <w:t xml:space="preserve">. </w:t>
      </w:r>
    </w:p>
    <w:p w14:paraId="0ABAB25B" w14:textId="6A34AB29" w:rsidR="00983AE6" w:rsidRPr="00736F23" w:rsidRDefault="00572874" w:rsidP="00983AE6">
      <w:pPr>
        <w:pStyle w:val="Heading2"/>
      </w:pPr>
      <w:bookmarkStart w:id="2751" w:name="_4.9_Census_Days_2"/>
      <w:bookmarkStart w:id="2752" w:name="_Toc501621230"/>
      <w:bookmarkEnd w:id="2751"/>
      <w:r>
        <w:t>4.9 Census</w:t>
      </w:r>
      <w:r w:rsidR="00983AE6" w:rsidRPr="00736F23">
        <w:t xml:space="preserve"> Days</w:t>
      </w:r>
      <w:bookmarkEnd w:id="2748"/>
      <w:bookmarkEnd w:id="2749"/>
      <w:bookmarkEnd w:id="2750"/>
      <w:bookmarkEnd w:id="2752"/>
      <w:r w:rsidR="00983AE6" w:rsidRPr="00736F23">
        <w:t xml:space="preserve"> </w:t>
      </w:r>
    </w:p>
    <w:p w14:paraId="375910B8" w14:textId="77777777" w:rsidR="003C110F" w:rsidRDefault="00983AE6" w:rsidP="00963989">
      <w:pPr>
        <w:pStyle w:val="BodyIndent1"/>
        <w:spacing w:before="0"/>
        <w:ind w:left="0"/>
        <w:rPr>
          <w:rFonts w:asciiTheme="minorHAnsi" w:hAnsiTheme="minorHAnsi" w:cstheme="minorHAnsi"/>
          <w:color w:val="FFFFFF" w:themeColor="background1"/>
        </w:rPr>
      </w:pPr>
      <w:r w:rsidRPr="00736F23">
        <w:rPr>
          <w:rFonts w:asciiTheme="minorHAnsi" w:hAnsiTheme="minorHAnsi" w:cstheme="minorHAnsi"/>
        </w:rPr>
        <w:t xml:space="preserve">A census day is </w:t>
      </w:r>
      <w:r>
        <w:rPr>
          <w:rFonts w:asciiTheme="minorHAnsi" w:hAnsiTheme="minorHAnsi" w:cstheme="minorHAnsi"/>
        </w:rPr>
        <w:t>a</w:t>
      </w:r>
      <w:r w:rsidRPr="00736F23">
        <w:rPr>
          <w:rFonts w:asciiTheme="minorHAnsi" w:hAnsiTheme="minorHAnsi" w:cstheme="minorHAnsi"/>
        </w:rPr>
        <w:t xml:space="preserve"> date by which </w:t>
      </w:r>
      <w:r>
        <w:rPr>
          <w:rFonts w:asciiTheme="minorHAnsi" w:hAnsiTheme="minorHAnsi" w:cstheme="minorHAnsi"/>
        </w:rPr>
        <w:t xml:space="preserve">a </w:t>
      </w:r>
      <w:r w:rsidRPr="00736F23">
        <w:rPr>
          <w:rFonts w:asciiTheme="minorHAnsi" w:hAnsiTheme="minorHAnsi" w:cstheme="minorHAnsi"/>
        </w:rPr>
        <w:t>student’s enrolment in the course</w:t>
      </w:r>
      <w:r>
        <w:rPr>
          <w:rFonts w:asciiTheme="minorHAnsi" w:hAnsiTheme="minorHAnsi" w:cstheme="minorHAnsi"/>
        </w:rPr>
        <w:t xml:space="preserve"> or part of the course</w:t>
      </w:r>
      <w:r w:rsidRPr="00736F23">
        <w:rPr>
          <w:rFonts w:asciiTheme="minorHAnsi" w:hAnsiTheme="minorHAnsi" w:cstheme="minorHAnsi"/>
        </w:rPr>
        <w:t xml:space="preserve"> can be cancelled without the student incurring </w:t>
      </w:r>
      <w:r>
        <w:rPr>
          <w:rFonts w:asciiTheme="minorHAnsi" w:hAnsiTheme="minorHAnsi" w:cstheme="minorHAnsi"/>
        </w:rPr>
        <w:t>tuition fees</w:t>
      </w:r>
      <w:r w:rsidRPr="00736F23">
        <w:rPr>
          <w:rFonts w:asciiTheme="minorHAnsi" w:hAnsiTheme="minorHAnsi" w:cstheme="minorHAnsi"/>
        </w:rPr>
        <w:t xml:space="preserve"> for the course or part of the </w:t>
      </w:r>
      <w:r>
        <w:rPr>
          <w:rFonts w:asciiTheme="minorHAnsi" w:hAnsiTheme="minorHAnsi" w:cstheme="minorHAnsi"/>
        </w:rPr>
        <w:t xml:space="preserve">course </w:t>
      </w:r>
      <w:r w:rsidRPr="00322F3C">
        <w:rPr>
          <w:rStyle w:val="ReferenceChar"/>
        </w:rPr>
        <w:t>[Act s 58(3)]</w:t>
      </w:r>
      <w:r>
        <w:rPr>
          <w:rFonts w:asciiTheme="minorHAnsi" w:hAnsiTheme="minorHAnsi" w:cstheme="minorHAnsi"/>
        </w:rPr>
        <w:t>.</w:t>
      </w:r>
      <w:r w:rsidRPr="00736F23">
        <w:rPr>
          <w:rFonts w:asciiTheme="minorHAnsi" w:hAnsiTheme="minorHAnsi" w:cstheme="minorHAnsi"/>
          <w:color w:val="FFFFFF" w:themeColor="background1"/>
        </w:rPr>
        <w:t xml:space="preserve"> </w:t>
      </w:r>
    </w:p>
    <w:p w14:paraId="6EE33D81" w14:textId="08C47003" w:rsidR="00983AE6" w:rsidRDefault="003C110F" w:rsidP="00963989">
      <w:pPr>
        <w:pStyle w:val="BodyIndent1"/>
        <w:spacing w:before="0"/>
        <w:ind w:left="0"/>
        <w:rPr>
          <w:rFonts w:asciiTheme="minorHAnsi" w:hAnsiTheme="minorHAnsi" w:cstheme="minorHAnsi"/>
        </w:rPr>
      </w:pPr>
      <w:r w:rsidRPr="00A41C46">
        <w:rPr>
          <w:rFonts w:asciiTheme="minorHAnsi" w:hAnsiTheme="minorHAnsi" w:cstheme="minorHAnsi"/>
        </w:rPr>
        <w:t xml:space="preserve">Although a student requests a loan for a course, the student </w:t>
      </w:r>
      <w:r w:rsidR="00BA790F">
        <w:rPr>
          <w:rFonts w:asciiTheme="minorHAnsi" w:hAnsiTheme="minorHAnsi" w:cstheme="minorHAnsi"/>
        </w:rPr>
        <w:t>becomes financially liable for the</w:t>
      </w:r>
      <w:r w:rsidRPr="00A41C46">
        <w:rPr>
          <w:rFonts w:asciiTheme="minorHAnsi" w:hAnsiTheme="minorHAnsi" w:cstheme="minorHAnsi"/>
        </w:rPr>
        <w:t xml:space="preserve"> tuition fees on a ‘part of a course’ (or unit of study) basis at the end of the census day for that unit. </w:t>
      </w:r>
    </w:p>
    <w:p w14:paraId="1EBB75D3" w14:textId="05E3794C" w:rsidR="003C110F" w:rsidRPr="00A41C46" w:rsidRDefault="003C110F" w:rsidP="00A41C46">
      <w:pPr>
        <w:pStyle w:val="BodyIndent1"/>
        <w:ind w:left="0"/>
        <w:rPr>
          <w:rFonts w:asciiTheme="minorHAnsi" w:hAnsiTheme="minorHAnsi" w:cstheme="minorHAnsi"/>
        </w:rPr>
      </w:pPr>
      <w:r w:rsidRPr="00A41C46">
        <w:rPr>
          <w:rFonts w:asciiTheme="minorHAnsi" w:hAnsiTheme="minorHAnsi" w:cstheme="minorHAnsi"/>
        </w:rPr>
        <w:t>A unit of study may comprise a group of units of competency or one unit of study may equal one unit of competency. This is a matter for a provider to determine while bearing in mind the requirement that the tuition fees for the course must be</w:t>
      </w:r>
      <w:r w:rsidR="002C35EF">
        <w:rPr>
          <w:rFonts w:asciiTheme="minorHAnsi" w:hAnsiTheme="minorHAnsi" w:cstheme="minorHAnsi"/>
        </w:rPr>
        <w:t xml:space="preserve"> </w:t>
      </w:r>
      <w:r w:rsidRPr="00A41C46">
        <w:rPr>
          <w:rFonts w:asciiTheme="minorHAnsi" w:hAnsiTheme="minorHAnsi" w:cstheme="minorHAnsi"/>
        </w:rPr>
        <w:t xml:space="preserve">reasonably and proportionately distributed across at least three </w:t>
      </w:r>
      <w:r w:rsidR="00BA790F">
        <w:rPr>
          <w:rFonts w:asciiTheme="minorHAnsi" w:hAnsiTheme="minorHAnsi" w:cstheme="minorHAnsi"/>
        </w:rPr>
        <w:t xml:space="preserve">sequential </w:t>
      </w:r>
      <w:r w:rsidRPr="00A41C46">
        <w:rPr>
          <w:rFonts w:asciiTheme="minorHAnsi" w:hAnsiTheme="minorHAnsi" w:cstheme="minorHAnsi"/>
        </w:rPr>
        <w:t xml:space="preserve">fee periods (therefore at least three census days/three units) over the course.  </w:t>
      </w:r>
    </w:p>
    <w:p w14:paraId="18A3F227" w14:textId="29575059" w:rsidR="003C110F" w:rsidRPr="00A41C46" w:rsidRDefault="003C110F" w:rsidP="003C110F">
      <w:pPr>
        <w:pStyle w:val="BodyIndent1"/>
        <w:spacing w:before="0"/>
        <w:ind w:left="0"/>
        <w:rPr>
          <w:rFonts w:asciiTheme="minorHAnsi" w:hAnsiTheme="minorHAnsi" w:cstheme="minorHAnsi"/>
        </w:rPr>
      </w:pPr>
      <w:r w:rsidRPr="00A41C46">
        <w:rPr>
          <w:rFonts w:asciiTheme="minorHAnsi" w:hAnsiTheme="minorHAnsi" w:cstheme="minorHAnsi"/>
        </w:rPr>
        <w:t>Many rules apply at a unit level</w:t>
      </w:r>
      <w:r>
        <w:rPr>
          <w:rFonts w:asciiTheme="minorHAnsi" w:hAnsiTheme="minorHAnsi" w:cstheme="minorHAnsi"/>
        </w:rPr>
        <w:t>,</w:t>
      </w:r>
      <w:r w:rsidR="00115DEB">
        <w:rPr>
          <w:rFonts w:asciiTheme="minorHAnsi" w:hAnsiTheme="minorHAnsi" w:cstheme="minorHAnsi"/>
        </w:rPr>
        <w:t xml:space="preserve"> </w:t>
      </w:r>
      <w:r w:rsidRPr="00A41C46">
        <w:rPr>
          <w:rFonts w:asciiTheme="minorHAnsi" w:hAnsiTheme="minorHAnsi" w:cstheme="minorHAnsi"/>
        </w:rPr>
        <w:t xml:space="preserve">such as publishing fees, issuing notices, reporting fees </w:t>
      </w:r>
      <w:r w:rsidR="00497B49" w:rsidRPr="00A41C46">
        <w:rPr>
          <w:rFonts w:asciiTheme="minorHAnsi" w:hAnsiTheme="minorHAnsi" w:cstheme="minorHAnsi"/>
        </w:rPr>
        <w:t>and</w:t>
      </w:r>
      <w:r w:rsidRPr="003C110F">
        <w:rPr>
          <w:rFonts w:asciiTheme="minorHAnsi" w:hAnsiTheme="minorHAnsi" w:cstheme="minorHAnsi"/>
          <w:color w:val="FFFFFF" w:themeColor="background1"/>
        </w:rPr>
        <w:t xml:space="preserve"> </w:t>
      </w:r>
      <w:r w:rsidRPr="00A41C46">
        <w:rPr>
          <w:rFonts w:asciiTheme="minorHAnsi" w:hAnsiTheme="minorHAnsi" w:cstheme="minorHAnsi"/>
        </w:rPr>
        <w:t>withdrawal and penalty provisions.</w:t>
      </w:r>
    </w:p>
    <w:p w14:paraId="648D751E" w14:textId="767B3A24" w:rsidR="00983AE6" w:rsidRPr="00736F23" w:rsidRDefault="00983AE6" w:rsidP="00983AE6">
      <w:pPr>
        <w:pStyle w:val="Heading3"/>
      </w:pPr>
      <w:bookmarkStart w:id="2753" w:name="_Toc481649903"/>
      <w:bookmarkStart w:id="2754" w:name="_Toc481650379"/>
      <w:bookmarkStart w:id="2755" w:name="_4.9.1__"/>
      <w:bookmarkStart w:id="2756" w:name="_Toc471374453"/>
      <w:bookmarkStart w:id="2757" w:name="_Toc483222921"/>
      <w:bookmarkStart w:id="2758" w:name="_Toc501621231"/>
      <w:bookmarkEnd w:id="2753"/>
      <w:bookmarkEnd w:id="2754"/>
      <w:bookmarkEnd w:id="2755"/>
      <w:r>
        <w:t xml:space="preserve">4.9.1   </w:t>
      </w:r>
      <w:r w:rsidRPr="00736F23">
        <w:t xml:space="preserve">Determining </w:t>
      </w:r>
      <w:r>
        <w:t>c</w:t>
      </w:r>
      <w:r w:rsidRPr="00736F23">
        <w:t>ensus days</w:t>
      </w:r>
      <w:bookmarkEnd w:id="2756"/>
      <w:bookmarkEnd w:id="2757"/>
      <w:bookmarkEnd w:id="2758"/>
    </w:p>
    <w:p w14:paraId="21D2ED85" w14:textId="77777777" w:rsidR="00983AE6" w:rsidRPr="00736F23" w:rsidRDefault="00983AE6" w:rsidP="00983AE6">
      <w:r w:rsidRPr="00736F23">
        <w:t>A provider must set census days for each course</w:t>
      </w:r>
      <w:r>
        <w:t xml:space="preserve"> </w:t>
      </w:r>
      <w:r w:rsidRPr="00F502FC">
        <w:rPr>
          <w:rStyle w:val="ReferenceChar"/>
        </w:rPr>
        <w:t>[Act s 58(2)]</w:t>
      </w:r>
      <w:r w:rsidRPr="00736F23">
        <w:rPr>
          <w:sz w:val="20"/>
          <w:szCs w:val="20"/>
        </w:rPr>
        <w:t>.</w:t>
      </w:r>
      <w:r w:rsidRPr="00736F23">
        <w:rPr>
          <w:rStyle w:val="ReferencesChar"/>
          <w:rFonts w:asciiTheme="minorHAnsi" w:hAnsiTheme="minorHAnsi" w:cstheme="minorHAnsi"/>
          <w:sz w:val="12"/>
          <w:szCs w:val="12"/>
        </w:rPr>
        <w:t xml:space="preserve"> </w:t>
      </w:r>
      <w:r w:rsidRPr="00736F23">
        <w:t xml:space="preserve">There must be at least </w:t>
      </w:r>
      <w:r>
        <w:t xml:space="preserve">3 </w:t>
      </w:r>
      <w:r w:rsidRPr="00736F23">
        <w:t>census days for the course. Each census day for part of the course must be at least 20 </w:t>
      </w:r>
      <w:r>
        <w:t>per </w:t>
      </w:r>
      <w:r w:rsidRPr="00736F23">
        <w:t>cent of the way between when that part of the course starts to be provided and when a student</w:t>
      </w:r>
      <w:r>
        <w:t xml:space="preserve"> is</w:t>
      </w:r>
      <w:r w:rsidRPr="00736F23">
        <w:t xml:space="preserve"> reasonably expected to comp</w:t>
      </w:r>
      <w:r>
        <w:t>l</w:t>
      </w:r>
      <w:r w:rsidRPr="00736F23">
        <w:t>ete th</w:t>
      </w:r>
      <w:r>
        <w:t>at</w:t>
      </w:r>
      <w:r w:rsidRPr="00736F23">
        <w:t xml:space="preserve"> part of the course </w:t>
      </w:r>
      <w:r w:rsidRPr="00F502FC">
        <w:rPr>
          <w:rStyle w:val="ReferenceChar"/>
        </w:rPr>
        <w:t>[Rules s 131]</w:t>
      </w:r>
      <w:r w:rsidRPr="00736F23">
        <w:rPr>
          <w:sz w:val="20"/>
          <w:szCs w:val="20"/>
        </w:rPr>
        <w:t>.</w:t>
      </w:r>
    </w:p>
    <w:p w14:paraId="33EED731" w14:textId="77777777" w:rsidR="00983AE6" w:rsidRDefault="00983AE6" w:rsidP="00983AE6">
      <w:r w:rsidRPr="00736F23">
        <w:t xml:space="preserve">The duration of a course should include any normal study breaks, assessments and/or exam periods. Supplementary exams should not be included, as all students do not normally undertake these. If final exam dates are unknown, the last day of the exam period is used as the end of the course or part of course. Census days must not fall on a day when a student cannot lodge a withdrawal from their course. </w:t>
      </w:r>
      <w:r>
        <w:t>T</w:t>
      </w:r>
      <w:r w:rsidRPr="00736F23">
        <w:t xml:space="preserve">he census date </w:t>
      </w:r>
      <w:r>
        <w:t>should not</w:t>
      </w:r>
      <w:r w:rsidRPr="00736F23">
        <w:t xml:space="preserve"> fall on non</w:t>
      </w:r>
      <w:r w:rsidRPr="00736F23">
        <w:noBreakHyphen/>
        <w:t>business days. This information must be made clear to students.</w:t>
      </w:r>
      <w:r>
        <w:t xml:space="preserve"> Refer to </w:t>
      </w:r>
      <w:r w:rsidRPr="00ED7DD9">
        <w:t xml:space="preserve">section </w:t>
      </w:r>
      <w:r>
        <w:t>‘</w:t>
      </w:r>
      <w:hyperlink w:anchor="_Toc477960261" w:history="1">
        <w:r w:rsidRPr="00F502FC">
          <w:rPr>
            <w:rStyle w:val="Hyperlink"/>
          </w:rPr>
          <w:t>Processes and procedures relating to a student’s withdrawal from a course</w:t>
        </w:r>
      </w:hyperlink>
      <w:r>
        <w:t>’</w:t>
      </w:r>
      <w:r w:rsidRPr="00ED7DD9">
        <w:t xml:space="preserve"> </w:t>
      </w:r>
      <w:r>
        <w:t>regarding barriers to withdrawal.</w:t>
      </w:r>
    </w:p>
    <w:p w14:paraId="6CC23E67" w14:textId="77777777" w:rsidR="0076648A" w:rsidRDefault="00497B49" w:rsidP="0076648A">
      <w:r w:rsidRPr="00D80351">
        <w:t xml:space="preserve">A census day calculator is available on the department’s website at: </w:t>
      </w:r>
      <w:hyperlink r:id="rId101" w:history="1">
        <w:r w:rsidRPr="00F502FC">
          <w:rPr>
            <w:rStyle w:val="Hyperlink"/>
          </w:rPr>
          <w:t>www.education.gov.au/census-dates</w:t>
        </w:r>
      </w:hyperlink>
      <w:r w:rsidRPr="00D80351">
        <w:rPr>
          <w:rStyle w:val="Hyperlink"/>
          <w:rFonts w:cstheme="minorHAnsi"/>
          <w:color w:val="000000" w:themeColor="text1"/>
        </w:rPr>
        <w:t>.</w:t>
      </w:r>
      <w:r w:rsidRPr="00D80351">
        <w:rPr>
          <w:color w:val="000000" w:themeColor="text1"/>
        </w:rPr>
        <w:t xml:space="preserve"> </w:t>
      </w:r>
      <w:r w:rsidR="0076648A">
        <w:rPr>
          <w:color w:val="000000" w:themeColor="text1"/>
        </w:rPr>
        <w:t xml:space="preserve"> </w:t>
      </w:r>
      <w:r w:rsidR="0076648A" w:rsidRPr="00736F23">
        <w:t>If using a Microsoft Excel workbook, the formula =((B1-A1)*0.2)+A1 may be used, where column A equals commencement date and column B equals completion date.</w:t>
      </w:r>
    </w:p>
    <w:p w14:paraId="2A61545B" w14:textId="1312D02F" w:rsidR="00983AE6" w:rsidRDefault="00983AE6" w:rsidP="00983AE6">
      <w:pPr>
        <w:rPr>
          <w:rFonts w:eastAsia="Times New Roman"/>
          <w:lang w:eastAsia="en-AU"/>
        </w:rPr>
      </w:pPr>
      <w:r w:rsidRPr="00F502FC">
        <w:rPr>
          <w:rStyle w:val="Strong"/>
        </w:rPr>
        <w:lastRenderedPageBreak/>
        <w:t>NOTE</w:t>
      </w:r>
      <w:r w:rsidR="002478CE">
        <w:rPr>
          <w:rFonts w:eastAsia="Times New Roman"/>
          <w:lang w:eastAsia="en-AU"/>
        </w:rPr>
        <w:t>: The</w:t>
      </w:r>
      <w:r w:rsidRPr="00ED7DD9">
        <w:rPr>
          <w:rFonts w:eastAsia="Times New Roman"/>
          <w:lang w:eastAsia="en-AU"/>
        </w:rPr>
        <w:t xml:space="preserve"> calculator does not return dates occurring on a Saturday or Sunday. Where calculated date occurs on a weekend, the date of the following Monday is returned. It is </w:t>
      </w:r>
      <w:r w:rsidR="002B6E9A">
        <w:rPr>
          <w:rFonts w:eastAsia="Times New Roman"/>
          <w:lang w:eastAsia="en-AU"/>
        </w:rPr>
        <w:t>a provider’s</w:t>
      </w:r>
      <w:r w:rsidR="002B6E9A" w:rsidRPr="00ED7DD9">
        <w:rPr>
          <w:rFonts w:eastAsia="Times New Roman"/>
          <w:lang w:eastAsia="en-AU"/>
        </w:rPr>
        <w:t xml:space="preserve"> </w:t>
      </w:r>
      <w:r w:rsidRPr="00ED7DD9">
        <w:rPr>
          <w:rFonts w:eastAsia="Times New Roman"/>
          <w:lang w:eastAsia="en-AU"/>
        </w:rPr>
        <w:t>responsibility to check whether the date returned is a public holiday. Where the date returned is a public holiday it is advisable to set the census date on a subsequent business day.</w:t>
      </w:r>
    </w:p>
    <w:p w14:paraId="766D7A2B" w14:textId="77777777" w:rsidR="00317A88" w:rsidRPr="006B65B9" w:rsidRDefault="00317A88" w:rsidP="006B65B9">
      <w:pPr>
        <w:shd w:val="clear" w:color="auto" w:fill="FDE9D9" w:themeFill="accent6" w:themeFillTint="33"/>
        <w:rPr>
          <w:b/>
        </w:rPr>
      </w:pPr>
      <w:bookmarkStart w:id="2759" w:name="_Toc500955386"/>
      <w:r w:rsidRPr="006B65B9">
        <w:rPr>
          <w:b/>
        </w:rPr>
        <w:t>Example</w:t>
      </w:r>
      <w:bookmarkEnd w:id="2759"/>
    </w:p>
    <w:p w14:paraId="60F4A9E6" w14:textId="77777777" w:rsidR="00317A88" w:rsidRPr="006B65B9" w:rsidRDefault="00317A88" w:rsidP="006B65B9">
      <w:pPr>
        <w:shd w:val="clear" w:color="auto" w:fill="FDE9D9" w:themeFill="accent6" w:themeFillTint="33"/>
      </w:pPr>
      <w:bookmarkStart w:id="2760" w:name="_Toc500955387"/>
      <w:r w:rsidRPr="006B65B9">
        <w:t>A part of a course has a start date of 10 July 2017 and an end date of 12 December 2017. The census date cannot be set before 10 August 2017, which is 20 per cent of the way through the part of the course.</w:t>
      </w:r>
      <w:bookmarkEnd w:id="2760"/>
    </w:p>
    <w:p w14:paraId="542B7731" w14:textId="72DC7191" w:rsidR="0076648A" w:rsidRDefault="002B2E7C" w:rsidP="0028499D">
      <w:pPr>
        <w:ind w:left="-709"/>
        <w:rPr>
          <w:rStyle w:val="Emphasis"/>
        </w:rPr>
      </w:pPr>
      <w:r>
        <w:rPr>
          <w:noProof/>
          <w:lang w:eastAsia="en-AU"/>
        </w:rPr>
        <w:drawing>
          <wp:inline distT="0" distB="0" distL="0" distR="0" wp14:anchorId="7D9C6325" wp14:editId="4149CCBE">
            <wp:extent cx="6792026" cy="2070340"/>
            <wp:effectExtent l="0" t="0" r="0" b="6350"/>
            <wp:docPr id="6" name="Picture 6" descr="illustration of the ineraction between census days and fee periods over the course duration." title="Timeline of course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2"/>
                    <a:srcRect t="6123"/>
                    <a:stretch/>
                  </pic:blipFill>
                  <pic:spPr bwMode="auto">
                    <a:xfrm>
                      <a:off x="0" y="0"/>
                      <a:ext cx="6854388" cy="20893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E08DB3A" w14:textId="77777777" w:rsidR="00983AE6" w:rsidRPr="00736F23" w:rsidRDefault="00983AE6" w:rsidP="002478CE">
      <w:pPr>
        <w:pStyle w:val="Heading3"/>
        <w:keepNext/>
        <w:keepLines/>
      </w:pPr>
      <w:bookmarkStart w:id="2761" w:name="_Toc477960390"/>
      <w:bookmarkStart w:id="2762" w:name="_Toc477960830"/>
      <w:bookmarkStart w:id="2763" w:name="_Toc477961269"/>
      <w:bookmarkStart w:id="2764" w:name="_Toc477961752"/>
      <w:bookmarkStart w:id="2765" w:name="_Toc477962239"/>
      <w:bookmarkStart w:id="2766" w:name="_Toc477962726"/>
      <w:bookmarkStart w:id="2767" w:name="_Toc477963212"/>
      <w:bookmarkStart w:id="2768" w:name="_Toc477963708"/>
      <w:bookmarkStart w:id="2769" w:name="_Toc478042901"/>
      <w:bookmarkStart w:id="2770" w:name="_Toc478367152"/>
      <w:bookmarkStart w:id="2771" w:name="_Toc479083764"/>
      <w:bookmarkStart w:id="2772" w:name="_Toc449515149"/>
      <w:bookmarkStart w:id="2773" w:name="_Toc451246511"/>
      <w:bookmarkStart w:id="2774" w:name="_Toc451246747"/>
      <w:bookmarkStart w:id="2775" w:name="_Toc451410211"/>
      <w:bookmarkStart w:id="2776" w:name="_Toc453155481"/>
      <w:bookmarkStart w:id="2777" w:name="_Toc457997103"/>
      <w:bookmarkStart w:id="2778" w:name="_Toc458071399"/>
      <w:bookmarkStart w:id="2779" w:name="_Toc458083256"/>
      <w:bookmarkStart w:id="2780" w:name="_Toc458085731"/>
      <w:bookmarkStart w:id="2781" w:name="_Toc458166050"/>
      <w:bookmarkStart w:id="2782" w:name="_Toc458166565"/>
      <w:bookmarkStart w:id="2783" w:name="_Toc458167079"/>
      <w:bookmarkStart w:id="2784" w:name="_Toc458167593"/>
      <w:bookmarkStart w:id="2785" w:name="_Toc458168107"/>
      <w:bookmarkStart w:id="2786" w:name="_Toc458168624"/>
      <w:bookmarkStart w:id="2787" w:name="_Toc458169140"/>
      <w:bookmarkStart w:id="2788" w:name="_Toc458169654"/>
      <w:bookmarkStart w:id="2789" w:name="_Toc458674293"/>
      <w:bookmarkStart w:id="2790" w:name="_Toc459187224"/>
      <w:bookmarkStart w:id="2791" w:name="_Toc459210049"/>
      <w:bookmarkStart w:id="2792" w:name="_Toc459639373"/>
      <w:bookmarkStart w:id="2793" w:name="_Toc459795704"/>
      <w:bookmarkStart w:id="2794" w:name="_Toc459977625"/>
      <w:bookmarkStart w:id="2795" w:name="_Toc449515150"/>
      <w:bookmarkStart w:id="2796" w:name="_Toc451246512"/>
      <w:bookmarkStart w:id="2797" w:name="_Toc451246748"/>
      <w:bookmarkStart w:id="2798" w:name="_Toc451410212"/>
      <w:bookmarkStart w:id="2799" w:name="_Toc453155482"/>
      <w:bookmarkStart w:id="2800" w:name="_Toc457997104"/>
      <w:bookmarkStart w:id="2801" w:name="_Toc458071400"/>
      <w:bookmarkStart w:id="2802" w:name="_Toc458083257"/>
      <w:bookmarkStart w:id="2803" w:name="_Toc458085732"/>
      <w:bookmarkStart w:id="2804" w:name="_Toc458166051"/>
      <w:bookmarkStart w:id="2805" w:name="_Toc458166566"/>
      <w:bookmarkStart w:id="2806" w:name="_Toc458167080"/>
      <w:bookmarkStart w:id="2807" w:name="_Toc458167594"/>
      <w:bookmarkStart w:id="2808" w:name="_Toc458168108"/>
      <w:bookmarkStart w:id="2809" w:name="_Toc458168625"/>
      <w:bookmarkStart w:id="2810" w:name="_Toc458169141"/>
      <w:bookmarkStart w:id="2811" w:name="_Toc458169655"/>
      <w:bookmarkStart w:id="2812" w:name="_Toc458674294"/>
      <w:bookmarkStart w:id="2813" w:name="_Toc459187225"/>
      <w:bookmarkStart w:id="2814" w:name="_Toc459210050"/>
      <w:bookmarkStart w:id="2815" w:name="_Toc459639374"/>
      <w:bookmarkStart w:id="2816" w:name="_Toc459795705"/>
      <w:bookmarkStart w:id="2817" w:name="_Toc459977626"/>
      <w:bookmarkStart w:id="2818" w:name="_Toc449515151"/>
      <w:bookmarkStart w:id="2819" w:name="_Toc451246513"/>
      <w:bookmarkStart w:id="2820" w:name="_Toc451246749"/>
      <w:bookmarkStart w:id="2821" w:name="_Toc451410213"/>
      <w:bookmarkStart w:id="2822" w:name="_Toc453155483"/>
      <w:bookmarkStart w:id="2823" w:name="_Toc457997105"/>
      <w:bookmarkStart w:id="2824" w:name="_Toc458071401"/>
      <w:bookmarkStart w:id="2825" w:name="_Toc458083258"/>
      <w:bookmarkStart w:id="2826" w:name="_Toc458085733"/>
      <w:bookmarkStart w:id="2827" w:name="_Toc458166052"/>
      <w:bookmarkStart w:id="2828" w:name="_Toc458166567"/>
      <w:bookmarkStart w:id="2829" w:name="_Toc458167081"/>
      <w:bookmarkStart w:id="2830" w:name="_Toc458167595"/>
      <w:bookmarkStart w:id="2831" w:name="_Toc458168109"/>
      <w:bookmarkStart w:id="2832" w:name="_Toc458168626"/>
      <w:bookmarkStart w:id="2833" w:name="_Toc458169142"/>
      <w:bookmarkStart w:id="2834" w:name="_Toc458169656"/>
      <w:bookmarkStart w:id="2835" w:name="_Toc458674295"/>
      <w:bookmarkStart w:id="2836" w:name="_Toc459187226"/>
      <w:bookmarkStart w:id="2837" w:name="_Toc459210051"/>
      <w:bookmarkStart w:id="2838" w:name="_Toc459639375"/>
      <w:bookmarkStart w:id="2839" w:name="_Toc459795706"/>
      <w:bookmarkStart w:id="2840" w:name="_Toc459977627"/>
      <w:bookmarkStart w:id="2841" w:name="_Toc449515152"/>
      <w:bookmarkStart w:id="2842" w:name="_Toc451246514"/>
      <w:bookmarkStart w:id="2843" w:name="_Toc451246750"/>
      <w:bookmarkStart w:id="2844" w:name="_Toc451410214"/>
      <w:bookmarkStart w:id="2845" w:name="_Toc453155484"/>
      <w:bookmarkStart w:id="2846" w:name="_Toc457997106"/>
      <w:bookmarkStart w:id="2847" w:name="_Toc458071402"/>
      <w:bookmarkStart w:id="2848" w:name="_Toc458083259"/>
      <w:bookmarkStart w:id="2849" w:name="_Toc458085734"/>
      <w:bookmarkStart w:id="2850" w:name="_Toc458166053"/>
      <w:bookmarkStart w:id="2851" w:name="_Toc458166568"/>
      <w:bookmarkStart w:id="2852" w:name="_Toc458167082"/>
      <w:bookmarkStart w:id="2853" w:name="_Toc458167596"/>
      <w:bookmarkStart w:id="2854" w:name="_Toc458168110"/>
      <w:bookmarkStart w:id="2855" w:name="_Toc458168627"/>
      <w:bookmarkStart w:id="2856" w:name="_Toc458169143"/>
      <w:bookmarkStart w:id="2857" w:name="_Toc458169657"/>
      <w:bookmarkStart w:id="2858" w:name="_Toc458674296"/>
      <w:bookmarkStart w:id="2859" w:name="_Toc459187227"/>
      <w:bookmarkStart w:id="2860" w:name="_Toc459210052"/>
      <w:bookmarkStart w:id="2861" w:name="_Toc459639376"/>
      <w:bookmarkStart w:id="2862" w:name="_Toc459795707"/>
      <w:bookmarkStart w:id="2863" w:name="_Toc459977628"/>
      <w:bookmarkStart w:id="2864" w:name="_Toc449515153"/>
      <w:bookmarkStart w:id="2865" w:name="_Toc451246515"/>
      <w:bookmarkStart w:id="2866" w:name="_Toc451246751"/>
      <w:bookmarkStart w:id="2867" w:name="_Toc451410215"/>
      <w:bookmarkStart w:id="2868" w:name="_Toc453155485"/>
      <w:bookmarkStart w:id="2869" w:name="_Toc457997107"/>
      <w:bookmarkStart w:id="2870" w:name="_Toc458071403"/>
      <w:bookmarkStart w:id="2871" w:name="_Toc458083260"/>
      <w:bookmarkStart w:id="2872" w:name="_Toc458085735"/>
      <w:bookmarkStart w:id="2873" w:name="_Toc458166054"/>
      <w:bookmarkStart w:id="2874" w:name="_Toc458166569"/>
      <w:bookmarkStart w:id="2875" w:name="_Toc458167083"/>
      <w:bookmarkStart w:id="2876" w:name="_Toc458167597"/>
      <w:bookmarkStart w:id="2877" w:name="_Toc458168111"/>
      <w:bookmarkStart w:id="2878" w:name="_Toc458168628"/>
      <w:bookmarkStart w:id="2879" w:name="_Toc458169144"/>
      <w:bookmarkStart w:id="2880" w:name="_Toc458169658"/>
      <w:bookmarkStart w:id="2881" w:name="_Toc458674297"/>
      <w:bookmarkStart w:id="2882" w:name="_Toc459187228"/>
      <w:bookmarkStart w:id="2883" w:name="_Toc459210053"/>
      <w:bookmarkStart w:id="2884" w:name="_Toc459639377"/>
      <w:bookmarkStart w:id="2885" w:name="_Toc459795708"/>
      <w:bookmarkStart w:id="2886" w:name="_Toc459977629"/>
      <w:bookmarkStart w:id="2887" w:name="_Toc449515154"/>
      <w:bookmarkStart w:id="2888" w:name="_Toc451246516"/>
      <w:bookmarkStart w:id="2889" w:name="_Toc451246752"/>
      <w:bookmarkStart w:id="2890" w:name="_Toc451410216"/>
      <w:bookmarkStart w:id="2891" w:name="_Toc453155486"/>
      <w:bookmarkStart w:id="2892" w:name="_Toc457997108"/>
      <w:bookmarkStart w:id="2893" w:name="_Toc458071404"/>
      <w:bookmarkStart w:id="2894" w:name="_Toc458083261"/>
      <w:bookmarkStart w:id="2895" w:name="_Toc458085736"/>
      <w:bookmarkStart w:id="2896" w:name="_Toc458166055"/>
      <w:bookmarkStart w:id="2897" w:name="_Toc458166570"/>
      <w:bookmarkStart w:id="2898" w:name="_Toc458167084"/>
      <w:bookmarkStart w:id="2899" w:name="_Toc458167598"/>
      <w:bookmarkStart w:id="2900" w:name="_Toc458168112"/>
      <w:bookmarkStart w:id="2901" w:name="_Toc458168629"/>
      <w:bookmarkStart w:id="2902" w:name="_Toc458169145"/>
      <w:bookmarkStart w:id="2903" w:name="_Toc458169659"/>
      <w:bookmarkStart w:id="2904" w:name="_Toc458674298"/>
      <w:bookmarkStart w:id="2905" w:name="_Toc459187229"/>
      <w:bookmarkStart w:id="2906" w:name="_Toc459210054"/>
      <w:bookmarkStart w:id="2907" w:name="_Toc459639378"/>
      <w:bookmarkStart w:id="2908" w:name="_Toc459795709"/>
      <w:bookmarkStart w:id="2909" w:name="_Toc459977630"/>
      <w:bookmarkStart w:id="2910" w:name="_Toc449515155"/>
      <w:bookmarkStart w:id="2911" w:name="_Toc451246517"/>
      <w:bookmarkStart w:id="2912" w:name="_Toc451246753"/>
      <w:bookmarkStart w:id="2913" w:name="_Toc451410217"/>
      <w:bookmarkStart w:id="2914" w:name="_Toc453155487"/>
      <w:bookmarkStart w:id="2915" w:name="_Toc457997109"/>
      <w:bookmarkStart w:id="2916" w:name="_Toc458071405"/>
      <w:bookmarkStart w:id="2917" w:name="_Toc458083262"/>
      <w:bookmarkStart w:id="2918" w:name="_Toc458085737"/>
      <w:bookmarkStart w:id="2919" w:name="_Toc458166056"/>
      <w:bookmarkStart w:id="2920" w:name="_Toc458166571"/>
      <w:bookmarkStart w:id="2921" w:name="_Toc458167085"/>
      <w:bookmarkStart w:id="2922" w:name="_Toc458167599"/>
      <w:bookmarkStart w:id="2923" w:name="_Toc458168113"/>
      <w:bookmarkStart w:id="2924" w:name="_Toc458168630"/>
      <w:bookmarkStart w:id="2925" w:name="_Toc458169146"/>
      <w:bookmarkStart w:id="2926" w:name="_Toc458169660"/>
      <w:bookmarkStart w:id="2927" w:name="_Toc458674299"/>
      <w:bookmarkStart w:id="2928" w:name="_Toc459187230"/>
      <w:bookmarkStart w:id="2929" w:name="_Toc459210055"/>
      <w:bookmarkStart w:id="2930" w:name="_Toc459639379"/>
      <w:bookmarkStart w:id="2931" w:name="_Toc459795710"/>
      <w:bookmarkStart w:id="2932" w:name="_Toc459977631"/>
      <w:bookmarkStart w:id="2933" w:name="_Toc462038491"/>
      <w:bookmarkStart w:id="2934" w:name="_Toc471374454"/>
      <w:bookmarkStart w:id="2935" w:name="_Toc483222922"/>
      <w:bookmarkStart w:id="2936" w:name="_Toc501621232"/>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t xml:space="preserve">4.9.2   </w:t>
      </w:r>
      <w:r w:rsidRPr="00736F23">
        <w:t>Flexible enrolments</w:t>
      </w:r>
      <w:bookmarkEnd w:id="2933"/>
      <w:bookmarkEnd w:id="2934"/>
      <w:bookmarkEnd w:id="2935"/>
      <w:bookmarkEnd w:id="2936"/>
    </w:p>
    <w:p w14:paraId="14CF217B" w14:textId="77777777" w:rsidR="00983AE6" w:rsidRPr="00736F23" w:rsidRDefault="00983AE6" w:rsidP="00983AE6">
      <w:r w:rsidRPr="00736F23">
        <w:t xml:space="preserve">A census day to accommodate rolling intakes or flexible enrolments can be a statement indicating when the census day falls. For example, if </w:t>
      </w:r>
      <w:r>
        <w:t xml:space="preserve">part of the </w:t>
      </w:r>
      <w:r w:rsidRPr="00736F23">
        <w:t xml:space="preserve">course is </w:t>
      </w:r>
      <w:r>
        <w:t>12-</w:t>
      </w:r>
      <w:r w:rsidRPr="00736F23">
        <w:t xml:space="preserve">weeks duration, a statement that the census day falls on day one of week </w:t>
      </w:r>
      <w:r>
        <w:t>four</w:t>
      </w:r>
      <w:r w:rsidRPr="00736F23">
        <w:t xml:space="preserve"> satisfies this requirement. A census da</w:t>
      </w:r>
      <w:r>
        <w:t>y</w:t>
      </w:r>
      <w:r w:rsidRPr="00736F23">
        <w:t xml:space="preserve"> cannot be earlier than 20 per cent of the way through the</w:t>
      </w:r>
      <w:r>
        <w:t xml:space="preserve"> part of the</w:t>
      </w:r>
      <w:r w:rsidRPr="00736F23">
        <w:t xml:space="preserve"> course.</w:t>
      </w:r>
    </w:p>
    <w:p w14:paraId="1E9D69A2" w14:textId="77777777" w:rsidR="00983AE6" w:rsidRPr="00736F23" w:rsidRDefault="00983AE6" w:rsidP="00983AE6">
      <w:pPr>
        <w:pStyle w:val="Heading3"/>
      </w:pPr>
      <w:bookmarkStart w:id="2937" w:name="_Toc457997111"/>
      <w:bookmarkStart w:id="2938" w:name="_Toc458071407"/>
      <w:bookmarkStart w:id="2939" w:name="_Toc458083264"/>
      <w:bookmarkStart w:id="2940" w:name="_Toc458085739"/>
      <w:bookmarkStart w:id="2941" w:name="_Toc458166058"/>
      <w:bookmarkStart w:id="2942" w:name="_Toc458166573"/>
      <w:bookmarkStart w:id="2943" w:name="_Toc458167087"/>
      <w:bookmarkStart w:id="2944" w:name="_Toc458167601"/>
      <w:bookmarkStart w:id="2945" w:name="_Toc458168115"/>
      <w:bookmarkStart w:id="2946" w:name="_Toc458168632"/>
      <w:bookmarkStart w:id="2947" w:name="_Toc458169148"/>
      <w:bookmarkStart w:id="2948" w:name="_Toc458169662"/>
      <w:bookmarkStart w:id="2949" w:name="_Toc458674301"/>
      <w:bookmarkStart w:id="2950" w:name="_Toc459187232"/>
      <w:bookmarkStart w:id="2951" w:name="_Toc459210057"/>
      <w:bookmarkStart w:id="2952" w:name="_Toc459639381"/>
      <w:bookmarkStart w:id="2953" w:name="_Toc459795712"/>
      <w:bookmarkStart w:id="2954" w:name="_Toc459977633"/>
      <w:bookmarkStart w:id="2955" w:name="_Toc457997112"/>
      <w:bookmarkStart w:id="2956" w:name="_Toc458071408"/>
      <w:bookmarkStart w:id="2957" w:name="_Toc458083265"/>
      <w:bookmarkStart w:id="2958" w:name="_Toc458085740"/>
      <w:bookmarkStart w:id="2959" w:name="_Toc458166059"/>
      <w:bookmarkStart w:id="2960" w:name="_Toc458166574"/>
      <w:bookmarkStart w:id="2961" w:name="_Toc458167088"/>
      <w:bookmarkStart w:id="2962" w:name="_Toc458167602"/>
      <w:bookmarkStart w:id="2963" w:name="_Toc458168116"/>
      <w:bookmarkStart w:id="2964" w:name="_Toc458168633"/>
      <w:bookmarkStart w:id="2965" w:name="_Toc458169149"/>
      <w:bookmarkStart w:id="2966" w:name="_Toc458169663"/>
      <w:bookmarkStart w:id="2967" w:name="_Toc458674302"/>
      <w:bookmarkStart w:id="2968" w:name="_Toc459187233"/>
      <w:bookmarkStart w:id="2969" w:name="_Toc459210058"/>
      <w:bookmarkStart w:id="2970" w:name="_Toc459639382"/>
      <w:bookmarkStart w:id="2971" w:name="_Toc459795713"/>
      <w:bookmarkStart w:id="2972" w:name="_Toc459977634"/>
      <w:bookmarkStart w:id="2973" w:name="_Toc457997113"/>
      <w:bookmarkStart w:id="2974" w:name="_Toc458071409"/>
      <w:bookmarkStart w:id="2975" w:name="_Toc458083266"/>
      <w:bookmarkStart w:id="2976" w:name="_Toc458085741"/>
      <w:bookmarkStart w:id="2977" w:name="_Toc458166060"/>
      <w:bookmarkStart w:id="2978" w:name="_Toc458166575"/>
      <w:bookmarkStart w:id="2979" w:name="_Toc458167089"/>
      <w:bookmarkStart w:id="2980" w:name="_Toc458167603"/>
      <w:bookmarkStart w:id="2981" w:name="_Toc458168117"/>
      <w:bookmarkStart w:id="2982" w:name="_Toc458168634"/>
      <w:bookmarkStart w:id="2983" w:name="_Toc458169150"/>
      <w:bookmarkStart w:id="2984" w:name="_Toc458169664"/>
      <w:bookmarkStart w:id="2985" w:name="_Toc458674303"/>
      <w:bookmarkStart w:id="2986" w:name="_Toc459187234"/>
      <w:bookmarkStart w:id="2987" w:name="_Toc459210059"/>
      <w:bookmarkStart w:id="2988" w:name="_Toc459639383"/>
      <w:bookmarkStart w:id="2989" w:name="_Toc459795714"/>
      <w:bookmarkStart w:id="2990" w:name="_Toc459977635"/>
      <w:bookmarkStart w:id="2991" w:name="_Toc341953429"/>
      <w:bookmarkStart w:id="2992" w:name="_Toc462038492"/>
      <w:bookmarkStart w:id="2993" w:name="_Toc471374455"/>
      <w:bookmarkStart w:id="2994" w:name="_Toc483222923"/>
      <w:bookmarkStart w:id="2995" w:name="_Toc501621233"/>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t xml:space="preserve">4.9.3   </w:t>
      </w:r>
      <w:r w:rsidRPr="00736F23">
        <w:t>Publishing census da</w:t>
      </w:r>
      <w:r>
        <w:t>ys</w:t>
      </w:r>
      <w:bookmarkEnd w:id="2991"/>
      <w:bookmarkEnd w:id="2992"/>
      <w:bookmarkEnd w:id="2993"/>
      <w:bookmarkEnd w:id="2994"/>
      <w:bookmarkEnd w:id="2995"/>
    </w:p>
    <w:p w14:paraId="17EA2D44" w14:textId="77777777" w:rsidR="00983AE6" w:rsidRPr="00322F3C" w:rsidRDefault="00983AE6" w:rsidP="00983AE6">
      <w:pPr>
        <w:rPr>
          <w:b/>
          <w:color w:val="00ADEF"/>
          <w:sz w:val="16"/>
        </w:rPr>
      </w:pPr>
      <w:r w:rsidRPr="00736F23">
        <w:t>The provider must publish census days for each course it provides or intends to provide on or before the earliest enrolment date for a course, or part of a course, enabling students to access information about the census date before they enrol. The information must be in an easily accessible location displayed prominently on the provider’s website</w:t>
      </w:r>
      <w:r>
        <w:t xml:space="preserve"> and which does not require login information</w:t>
      </w:r>
      <w:r w:rsidRPr="00736F23">
        <w:t xml:space="preserve"> </w:t>
      </w:r>
      <w:r>
        <w:rPr>
          <w:rStyle w:val="ReferenceChar"/>
        </w:rPr>
        <w:t>[Rules </w:t>
      </w:r>
      <w:r w:rsidRPr="00322F3C">
        <w:rPr>
          <w:rStyle w:val="ReferenceChar"/>
        </w:rPr>
        <w:t>s</w:t>
      </w:r>
      <w:r>
        <w:rPr>
          <w:rStyle w:val="ReferenceChar"/>
        </w:rPr>
        <w:t> </w:t>
      </w:r>
      <w:r w:rsidRPr="00322F3C">
        <w:rPr>
          <w:rStyle w:val="ReferenceChar"/>
        </w:rPr>
        <w:t>132]</w:t>
      </w:r>
      <w:r w:rsidRPr="00736F23">
        <w:t xml:space="preserve">. </w:t>
      </w:r>
    </w:p>
    <w:p w14:paraId="0DD75323" w14:textId="77777777" w:rsidR="00983AE6" w:rsidRPr="00736F23" w:rsidRDefault="00983AE6" w:rsidP="00983AE6">
      <w:pPr>
        <w:pStyle w:val="Heading3"/>
      </w:pPr>
      <w:bookmarkStart w:id="2996" w:name="_Variations_to_census"/>
      <w:bookmarkStart w:id="2997" w:name="_4.9.4__"/>
      <w:bookmarkStart w:id="2998" w:name="_Toc462038493"/>
      <w:bookmarkStart w:id="2999" w:name="_Toc471374456"/>
      <w:bookmarkStart w:id="3000" w:name="_Toc483222924"/>
      <w:bookmarkStart w:id="3001" w:name="_Toc501621234"/>
      <w:bookmarkEnd w:id="2996"/>
      <w:bookmarkEnd w:id="2997"/>
      <w:r>
        <w:t xml:space="preserve">4.9.4   </w:t>
      </w:r>
      <w:r w:rsidRPr="00736F23">
        <w:t xml:space="preserve">Variations to census </w:t>
      </w:r>
      <w:bookmarkEnd w:id="2998"/>
      <w:bookmarkEnd w:id="2999"/>
      <w:r w:rsidRPr="00736F23">
        <w:t>da</w:t>
      </w:r>
      <w:r>
        <w:t>ys</w:t>
      </w:r>
      <w:bookmarkEnd w:id="3000"/>
      <w:bookmarkEnd w:id="3001"/>
    </w:p>
    <w:p w14:paraId="189D197E" w14:textId="77777777" w:rsidR="00983AE6" w:rsidRPr="00736F23" w:rsidRDefault="00983AE6" w:rsidP="00983AE6">
      <w:r w:rsidRPr="00736F23">
        <w:t>A provider may only vary a published census da</w:t>
      </w:r>
      <w:r>
        <w:t>y</w:t>
      </w:r>
      <w:r w:rsidRPr="00736F23">
        <w:t xml:space="preserve"> if the change:</w:t>
      </w:r>
    </w:p>
    <w:p w14:paraId="5DE7BDF4" w14:textId="77777777" w:rsidR="00983AE6" w:rsidRPr="00736F23" w:rsidRDefault="00983AE6" w:rsidP="00A0727A">
      <w:pPr>
        <w:pStyle w:val="ListBullet"/>
        <w:numPr>
          <w:ilvl w:val="0"/>
          <w:numId w:val="74"/>
        </w:numPr>
      </w:pPr>
      <w:r w:rsidRPr="00736F23">
        <w:t>occurs before the census da</w:t>
      </w:r>
      <w:r>
        <w:t>y</w:t>
      </w:r>
      <w:r w:rsidRPr="00736F23">
        <w:t xml:space="preserve">; and </w:t>
      </w:r>
    </w:p>
    <w:p w14:paraId="1E6F28E9" w14:textId="77777777" w:rsidR="00983AE6" w:rsidRPr="00736F23" w:rsidRDefault="00983AE6" w:rsidP="00A0727A">
      <w:pPr>
        <w:pStyle w:val="ListBullet"/>
        <w:numPr>
          <w:ilvl w:val="0"/>
          <w:numId w:val="74"/>
        </w:numPr>
      </w:pPr>
      <w:r w:rsidRPr="00736F23">
        <w:t>does not disadvantage students enrolled in that course; and</w:t>
      </w:r>
    </w:p>
    <w:p w14:paraId="2981425F" w14:textId="77777777" w:rsidR="00983AE6" w:rsidRPr="00736F23" w:rsidRDefault="00983AE6" w:rsidP="00A0727A">
      <w:pPr>
        <w:pStyle w:val="ListBullet"/>
        <w:numPr>
          <w:ilvl w:val="0"/>
          <w:numId w:val="74"/>
        </w:numPr>
      </w:pPr>
      <w:r w:rsidRPr="00736F23">
        <w:t>is</w:t>
      </w:r>
      <w:r w:rsidRPr="00D85DCB">
        <w:t xml:space="preserve"> necessary</w:t>
      </w:r>
      <w:r w:rsidRPr="00736F23">
        <w:t xml:space="preserve"> to correct an administrative error</w:t>
      </w:r>
      <w:r>
        <w:t xml:space="preserve"> or to deal with a change in circumstances</w:t>
      </w:r>
      <w:r w:rsidRPr="00736F23">
        <w:t xml:space="preserve"> </w:t>
      </w:r>
      <w:r w:rsidRPr="00E464F6">
        <w:rPr>
          <w:rStyle w:val="ReferenceChar"/>
        </w:rPr>
        <w:t>[Rul</w:t>
      </w:r>
      <w:r>
        <w:rPr>
          <w:rStyle w:val="ReferenceChar"/>
        </w:rPr>
        <w:t>es </w:t>
      </w:r>
      <w:r w:rsidRPr="00E464F6">
        <w:rPr>
          <w:rStyle w:val="ReferenceChar"/>
        </w:rPr>
        <w:t>s</w:t>
      </w:r>
      <w:r>
        <w:rPr>
          <w:rStyle w:val="ReferenceChar"/>
        </w:rPr>
        <w:t> </w:t>
      </w:r>
      <w:r w:rsidRPr="00E464F6">
        <w:rPr>
          <w:rStyle w:val="ReferenceChar"/>
        </w:rPr>
        <w:t>133(1)]</w:t>
      </w:r>
      <w:r w:rsidRPr="00736F23">
        <w:rPr>
          <w:rStyle w:val="ReferencesChar"/>
          <w:rFonts w:asciiTheme="minorHAnsi" w:hAnsiTheme="minorHAnsi" w:cstheme="minorHAnsi"/>
          <w:sz w:val="20"/>
          <w:szCs w:val="20"/>
        </w:rPr>
        <w:t>.</w:t>
      </w:r>
    </w:p>
    <w:p w14:paraId="5EDBF42D" w14:textId="04156075" w:rsidR="00983AE6" w:rsidRDefault="00983AE6" w:rsidP="00983AE6">
      <w:pPr>
        <w:rPr>
          <w:rStyle w:val="ReferencesChar"/>
          <w:rFonts w:asciiTheme="minorHAnsi" w:hAnsiTheme="minorHAnsi" w:cstheme="minorHAnsi"/>
        </w:rPr>
      </w:pPr>
      <w:r>
        <w:t xml:space="preserve">In any other circumstances, the provider must obtain the Secretary’s approval prior to varying the census day </w:t>
      </w:r>
      <w:r w:rsidRPr="00E464F6">
        <w:rPr>
          <w:rStyle w:val="ReferenceChar"/>
        </w:rPr>
        <w:t>[Rules s 133(1</w:t>
      </w:r>
      <w:r w:rsidR="00317A88">
        <w:rPr>
          <w:rStyle w:val="ReferenceChar"/>
        </w:rPr>
        <w:t>)</w:t>
      </w:r>
      <w:r w:rsidRPr="00E464F6">
        <w:rPr>
          <w:rStyle w:val="ReferenceChar"/>
        </w:rPr>
        <w:t>(a)]</w:t>
      </w:r>
      <w:r w:rsidRPr="00715376">
        <w:rPr>
          <w:rStyle w:val="ReferencesChar"/>
          <w:rFonts w:asciiTheme="minorHAnsi" w:hAnsiTheme="minorHAnsi" w:cstheme="minorHAnsi"/>
        </w:rPr>
        <w:t>.</w:t>
      </w:r>
    </w:p>
    <w:p w14:paraId="57342F56" w14:textId="70421203" w:rsidR="002C6EA5" w:rsidRPr="002C6EA5" w:rsidRDefault="002C6EA5" w:rsidP="002C6EA5">
      <w:r w:rsidRPr="002C6EA5">
        <w:t>The Explanatory Statement to the VET Student Loans Rules 2016 indicates an example of an administrative error as 'a typographical error in the published census day'. It is up to the provider to apply this provision in accordance with the overall intent of the section, and the particular circumstances of the student.</w:t>
      </w:r>
    </w:p>
    <w:p w14:paraId="37334EFF" w14:textId="77777777" w:rsidR="00983AE6" w:rsidRPr="003F5097" w:rsidRDefault="00983AE6" w:rsidP="00983AE6">
      <w:r w:rsidRPr="003F5097">
        <w:lastRenderedPageBreak/>
        <w:t>This section does not apply in relation to a course offered under an arrangement that:</w:t>
      </w:r>
    </w:p>
    <w:p w14:paraId="466A4EA6" w14:textId="77777777" w:rsidR="00983AE6" w:rsidRPr="003F5097" w:rsidRDefault="00983AE6" w:rsidP="00A0727A">
      <w:pPr>
        <w:pStyle w:val="ListBullet"/>
        <w:numPr>
          <w:ilvl w:val="0"/>
          <w:numId w:val="74"/>
        </w:numPr>
      </w:pPr>
      <w:r w:rsidRPr="003F5097">
        <w:t>was entered into between the provider and an employer or industry body and</w:t>
      </w:r>
    </w:p>
    <w:p w14:paraId="7758111D" w14:textId="77777777" w:rsidR="00983AE6" w:rsidRDefault="00983AE6" w:rsidP="00A0727A">
      <w:pPr>
        <w:pStyle w:val="ListBullet"/>
        <w:numPr>
          <w:ilvl w:val="0"/>
          <w:numId w:val="74"/>
        </w:numPr>
      </w:pPr>
      <w:r w:rsidRPr="003F5097">
        <w:t>limits or restricts enrolments in some or all of the places in the course</w:t>
      </w:r>
      <w:r>
        <w:t xml:space="preserve"> </w:t>
      </w:r>
      <w:r w:rsidRPr="00E464F6">
        <w:rPr>
          <w:rStyle w:val="ReferenceChar"/>
        </w:rPr>
        <w:t>[Rules s 133(3)]</w:t>
      </w:r>
      <w:r w:rsidRPr="00283E59">
        <w:t>.</w:t>
      </w:r>
    </w:p>
    <w:p w14:paraId="08958B70" w14:textId="77777777" w:rsidR="00983AE6" w:rsidRPr="00C527AA" w:rsidRDefault="00983AE6" w:rsidP="00983AE6">
      <w:r w:rsidRPr="00C527AA">
        <w:t xml:space="preserve">A provider </w:t>
      </w:r>
      <w:r>
        <w:t xml:space="preserve">must publish prominently on its website any variation to a census day as soon as practicable </w:t>
      </w:r>
      <w:r w:rsidRPr="00E464F6">
        <w:rPr>
          <w:rStyle w:val="ReferenceChar"/>
        </w:rPr>
        <w:t>[Rules s 134]</w:t>
      </w:r>
      <w:r>
        <w:t>.</w:t>
      </w:r>
    </w:p>
    <w:p w14:paraId="6C12EB93" w14:textId="77777777" w:rsidR="00983AE6" w:rsidRPr="00736F23" w:rsidRDefault="00983AE6" w:rsidP="00983AE6">
      <w:pPr>
        <w:pStyle w:val="Heading3"/>
      </w:pPr>
      <w:bookmarkStart w:id="3002" w:name="_Toc477960394"/>
      <w:bookmarkStart w:id="3003" w:name="_Toc477960834"/>
      <w:bookmarkStart w:id="3004" w:name="_Toc477961273"/>
      <w:bookmarkStart w:id="3005" w:name="_Toc477961756"/>
      <w:bookmarkStart w:id="3006" w:name="_Toc477962243"/>
      <w:bookmarkStart w:id="3007" w:name="_Toc477962730"/>
      <w:bookmarkStart w:id="3008" w:name="_Toc477963216"/>
      <w:bookmarkStart w:id="3009" w:name="_Toc477963712"/>
      <w:bookmarkStart w:id="3010" w:name="_Toc478042905"/>
      <w:bookmarkStart w:id="3011" w:name="_Toc478367156"/>
      <w:bookmarkStart w:id="3012" w:name="_Toc479083768"/>
      <w:bookmarkStart w:id="3013" w:name="_Toc458083269"/>
      <w:bookmarkStart w:id="3014" w:name="_Toc458085744"/>
      <w:bookmarkStart w:id="3015" w:name="_Toc458166063"/>
      <w:bookmarkStart w:id="3016" w:name="_Toc458166578"/>
      <w:bookmarkStart w:id="3017" w:name="_Toc458167092"/>
      <w:bookmarkStart w:id="3018" w:name="_Toc458167606"/>
      <w:bookmarkStart w:id="3019" w:name="_Toc458168120"/>
      <w:bookmarkStart w:id="3020" w:name="_Toc458168637"/>
      <w:bookmarkStart w:id="3021" w:name="_Toc458169153"/>
      <w:bookmarkStart w:id="3022" w:name="_Toc458169667"/>
      <w:bookmarkStart w:id="3023" w:name="_Toc458674306"/>
      <w:bookmarkStart w:id="3024" w:name="_Toc459187237"/>
      <w:bookmarkStart w:id="3025" w:name="_Toc459210062"/>
      <w:bookmarkStart w:id="3026" w:name="_Toc459639386"/>
      <w:bookmarkStart w:id="3027" w:name="_Toc459795717"/>
      <w:bookmarkStart w:id="3028" w:name="_Toc459977638"/>
      <w:bookmarkStart w:id="3029" w:name="_Variations_with_ministerial"/>
      <w:bookmarkStart w:id="3030" w:name="_Toc462038494"/>
      <w:bookmarkStart w:id="3031" w:name="_Toc471374457"/>
      <w:bookmarkStart w:id="3032" w:name="_Toc483222925"/>
      <w:bookmarkStart w:id="3033" w:name="_Toc501621235"/>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r>
        <w:t xml:space="preserve">4.9.5   </w:t>
      </w:r>
      <w:r w:rsidRPr="00736F23">
        <w:t xml:space="preserve">Variations </w:t>
      </w:r>
      <w:r>
        <w:t xml:space="preserve">to census days </w:t>
      </w:r>
      <w:bookmarkEnd w:id="3030"/>
      <w:bookmarkEnd w:id="3031"/>
      <w:r>
        <w:t>that disadvantage students</w:t>
      </w:r>
      <w:bookmarkEnd w:id="3032"/>
      <w:bookmarkEnd w:id="3033"/>
    </w:p>
    <w:p w14:paraId="2CE466D5" w14:textId="77777777" w:rsidR="00983AE6" w:rsidRDefault="00983AE6" w:rsidP="00983AE6">
      <w:r w:rsidRPr="00736F23">
        <w:t xml:space="preserve">Approval of the Secretary of the </w:t>
      </w:r>
      <w:r>
        <w:t>d</w:t>
      </w:r>
      <w:r w:rsidRPr="00736F23">
        <w:t>epartment is required for proposed variations</w:t>
      </w:r>
      <w:r>
        <w:t xml:space="preserve"> to census days that do not satisfy section 4.9.4 of this Manual</w:t>
      </w:r>
      <w:r w:rsidRPr="00736F23">
        <w:t>, such as bringing the published census da</w:t>
      </w:r>
      <w:r>
        <w:t>y</w:t>
      </w:r>
      <w:r w:rsidRPr="00736F23">
        <w:t xml:space="preserve"> forward in time</w:t>
      </w:r>
      <w:r w:rsidRPr="0065023C">
        <w:rPr>
          <w:rStyle w:val="ReferenceChar"/>
        </w:rPr>
        <w:t xml:space="preserve"> [Rules s 133(1)](a) and s 133(2)]</w:t>
      </w:r>
      <w:r w:rsidRPr="00736F23">
        <w:t>.</w:t>
      </w:r>
    </w:p>
    <w:p w14:paraId="5149B9BE" w14:textId="77777777" w:rsidR="00983AE6" w:rsidRPr="00A5403F" w:rsidRDefault="00983AE6" w:rsidP="00983AE6">
      <w:r w:rsidRPr="00A5403F">
        <w:t>The request must provide all information and include:</w:t>
      </w:r>
    </w:p>
    <w:p w14:paraId="146788FD" w14:textId="77777777" w:rsidR="00983AE6" w:rsidRPr="00A5403F" w:rsidRDefault="00983AE6" w:rsidP="00A0727A">
      <w:pPr>
        <w:pStyle w:val="ListBullet"/>
        <w:numPr>
          <w:ilvl w:val="0"/>
          <w:numId w:val="74"/>
        </w:numPr>
      </w:pPr>
      <w:r w:rsidRPr="00A5403F">
        <w:t>the name of the affected unit of study and unit of study code</w:t>
      </w:r>
    </w:p>
    <w:p w14:paraId="62FF1904" w14:textId="77777777" w:rsidR="00983AE6" w:rsidRPr="00A5403F" w:rsidRDefault="00983AE6" w:rsidP="00A0727A">
      <w:pPr>
        <w:pStyle w:val="ListBullet"/>
        <w:numPr>
          <w:ilvl w:val="0"/>
          <w:numId w:val="74"/>
        </w:numPr>
      </w:pPr>
      <w:r w:rsidRPr="00A5403F">
        <w:t>the course to which the unit forms</w:t>
      </w:r>
      <w:r>
        <w:t xml:space="preserve"> a</w:t>
      </w:r>
      <w:r w:rsidRPr="00A5403F">
        <w:t xml:space="preserve"> part</w:t>
      </w:r>
    </w:p>
    <w:p w14:paraId="6F6F96C0" w14:textId="77777777" w:rsidR="00983AE6" w:rsidRPr="00A5403F" w:rsidRDefault="00983AE6" w:rsidP="00A0727A">
      <w:pPr>
        <w:pStyle w:val="ListBullet"/>
        <w:numPr>
          <w:ilvl w:val="0"/>
          <w:numId w:val="74"/>
        </w:numPr>
      </w:pPr>
      <w:r w:rsidRPr="00A5403F">
        <w:t>what change is being made</w:t>
      </w:r>
    </w:p>
    <w:p w14:paraId="26F73DF6" w14:textId="77777777" w:rsidR="00983AE6" w:rsidRPr="00A5403F" w:rsidRDefault="00983AE6" w:rsidP="00A0727A">
      <w:pPr>
        <w:pStyle w:val="ListBullet"/>
        <w:numPr>
          <w:ilvl w:val="0"/>
          <w:numId w:val="74"/>
        </w:numPr>
      </w:pPr>
      <w:r w:rsidRPr="00A5403F">
        <w:t>details of when the provider first became aware of the need to change</w:t>
      </w:r>
    </w:p>
    <w:p w14:paraId="7610C3BB" w14:textId="77777777" w:rsidR="00983AE6" w:rsidRPr="00A5403F" w:rsidRDefault="00983AE6" w:rsidP="00A0727A">
      <w:pPr>
        <w:pStyle w:val="ListBullet"/>
        <w:numPr>
          <w:ilvl w:val="0"/>
          <w:numId w:val="74"/>
        </w:numPr>
      </w:pPr>
      <w:r w:rsidRPr="00A5403F">
        <w:t xml:space="preserve">the commencement date for the unit </w:t>
      </w:r>
    </w:p>
    <w:p w14:paraId="7C31D411" w14:textId="77777777" w:rsidR="00983AE6" w:rsidRPr="00A5403F" w:rsidRDefault="00983AE6" w:rsidP="00A0727A">
      <w:pPr>
        <w:pStyle w:val="ListBullet"/>
        <w:numPr>
          <w:ilvl w:val="0"/>
          <w:numId w:val="74"/>
        </w:numPr>
      </w:pPr>
      <w:r w:rsidRPr="00A5403F">
        <w:t xml:space="preserve">the end date for the unit </w:t>
      </w:r>
    </w:p>
    <w:p w14:paraId="1EA18930" w14:textId="77777777" w:rsidR="00983AE6" w:rsidRPr="00A5403F" w:rsidRDefault="00983AE6" w:rsidP="00A0727A">
      <w:pPr>
        <w:pStyle w:val="ListBullet"/>
        <w:numPr>
          <w:ilvl w:val="0"/>
          <w:numId w:val="74"/>
        </w:numPr>
      </w:pPr>
      <w:r w:rsidRPr="00A5403F">
        <w:t>the current census da</w:t>
      </w:r>
      <w:r>
        <w:t>y</w:t>
      </w:r>
      <w:r w:rsidRPr="00A5403F">
        <w:t xml:space="preserve"> for the unit</w:t>
      </w:r>
    </w:p>
    <w:p w14:paraId="3618B767" w14:textId="77777777" w:rsidR="00983AE6" w:rsidRPr="00A5403F" w:rsidRDefault="00983AE6" w:rsidP="00A0727A">
      <w:pPr>
        <w:pStyle w:val="ListBullet"/>
        <w:numPr>
          <w:ilvl w:val="0"/>
          <w:numId w:val="74"/>
        </w:numPr>
      </w:pPr>
      <w:r w:rsidRPr="00A5403F">
        <w:t xml:space="preserve">the last day a person may enrol in the unit without incurring </w:t>
      </w:r>
      <w:r>
        <w:t>tuition fees</w:t>
      </w:r>
    </w:p>
    <w:p w14:paraId="6D40B066" w14:textId="77777777" w:rsidR="00983AE6" w:rsidRPr="00A5403F" w:rsidRDefault="00983AE6" w:rsidP="00A0727A">
      <w:pPr>
        <w:pStyle w:val="ListBullet"/>
        <w:numPr>
          <w:ilvl w:val="0"/>
          <w:numId w:val="74"/>
        </w:numPr>
      </w:pPr>
      <w:r w:rsidRPr="00A5403F">
        <w:t xml:space="preserve">the number of students who are eligible for </w:t>
      </w:r>
      <w:r>
        <w:t>VET Student Loans</w:t>
      </w:r>
      <w:r w:rsidRPr="00A5403F">
        <w:t xml:space="preserve"> and enrolled in the unit of study</w:t>
      </w:r>
    </w:p>
    <w:p w14:paraId="65BC2BEB" w14:textId="77777777" w:rsidR="00983AE6" w:rsidRPr="00A5403F" w:rsidRDefault="00983AE6" w:rsidP="00A0727A">
      <w:pPr>
        <w:pStyle w:val="ListBullet"/>
        <w:numPr>
          <w:ilvl w:val="0"/>
          <w:numId w:val="74"/>
        </w:numPr>
      </w:pPr>
      <w:r w:rsidRPr="00A5403F">
        <w:t>whether the students have been advised of the possible variation and</w:t>
      </w:r>
    </w:p>
    <w:p w14:paraId="7EEDC1BD" w14:textId="77777777" w:rsidR="00983AE6" w:rsidRPr="00A5403F" w:rsidRDefault="00983AE6" w:rsidP="00A0727A">
      <w:pPr>
        <w:pStyle w:val="ListBullet"/>
        <w:numPr>
          <w:ilvl w:val="0"/>
          <w:numId w:val="74"/>
        </w:numPr>
      </w:pPr>
      <w:r w:rsidRPr="00A5403F">
        <w:t xml:space="preserve">why the </w:t>
      </w:r>
      <w:r>
        <w:t>Secretary</w:t>
      </w:r>
      <w:r w:rsidRPr="00A5403F">
        <w:t xml:space="preserve"> should approve the request.</w:t>
      </w:r>
    </w:p>
    <w:p w14:paraId="022E7B08" w14:textId="77777777" w:rsidR="00983AE6" w:rsidRPr="00A5403F" w:rsidRDefault="00983AE6" w:rsidP="00983AE6">
      <w:r w:rsidRPr="00A5403F">
        <w:t xml:space="preserve">The </w:t>
      </w:r>
      <w:r>
        <w:t>Secretary</w:t>
      </w:r>
      <w:r w:rsidRPr="00A5403F">
        <w:t xml:space="preserve"> will give written advice of the decision. The variation cannot be made unless approval has been advised.</w:t>
      </w:r>
    </w:p>
    <w:p w14:paraId="4C328FB0" w14:textId="77777777" w:rsidR="00983AE6" w:rsidRDefault="00983AE6" w:rsidP="00983AE6">
      <w:bookmarkStart w:id="3034" w:name="_Toc481649909"/>
      <w:bookmarkStart w:id="3035" w:name="_Toc481650385"/>
      <w:bookmarkStart w:id="3036" w:name="_Re-crediting_FEE-HELP_balances"/>
      <w:bookmarkStart w:id="3037" w:name="_Toc471731134"/>
      <w:bookmarkStart w:id="3038" w:name="_Toc471802444"/>
      <w:bookmarkStart w:id="3039" w:name="_Toc471803450"/>
      <w:bookmarkStart w:id="3040" w:name="_Toc471803568"/>
      <w:bookmarkStart w:id="3041" w:name="_Toc471803721"/>
      <w:bookmarkStart w:id="3042" w:name="_Toc471803764"/>
      <w:bookmarkStart w:id="3043" w:name="_Toc471803977"/>
      <w:bookmarkStart w:id="3044" w:name="_Toc471804219"/>
      <w:bookmarkStart w:id="3045" w:name="_Toc471817497"/>
      <w:bookmarkStart w:id="3046" w:name="_Toc473016842"/>
      <w:bookmarkStart w:id="3047" w:name="_Toc473021540"/>
      <w:bookmarkStart w:id="3048" w:name="_Toc473021640"/>
      <w:bookmarkStart w:id="3049" w:name="_Toc473532504"/>
      <w:bookmarkStart w:id="3050" w:name="_Toc473707794"/>
      <w:bookmarkStart w:id="3051" w:name="_Toc473708500"/>
      <w:bookmarkStart w:id="3052" w:name="_Toc473708579"/>
      <w:bookmarkStart w:id="3053" w:name="_Toc473719352"/>
      <w:bookmarkStart w:id="3054" w:name="_Toc474396042"/>
      <w:bookmarkStart w:id="3055" w:name="_Toc474398246"/>
      <w:bookmarkStart w:id="3056" w:name="_Toc474413854"/>
      <w:bookmarkStart w:id="3057" w:name="_Toc474485337"/>
      <w:bookmarkStart w:id="3058" w:name="_Toc474924634"/>
      <w:bookmarkStart w:id="3059" w:name="_Toc475444244"/>
      <w:bookmarkStart w:id="3060" w:name="_Toc475444335"/>
      <w:bookmarkStart w:id="3061" w:name="_Toc477425520"/>
      <w:bookmarkStart w:id="3062" w:name="_Toc477425852"/>
      <w:bookmarkStart w:id="3063" w:name="_Toc477505890"/>
      <w:bookmarkStart w:id="3064" w:name="_Toc477960031"/>
      <w:bookmarkStart w:id="3065" w:name="_Toc477960396"/>
      <w:bookmarkStart w:id="3066" w:name="_Toc477960836"/>
      <w:bookmarkStart w:id="3067" w:name="_Toc477961275"/>
      <w:bookmarkStart w:id="3068" w:name="_Toc477961758"/>
      <w:bookmarkStart w:id="3069" w:name="_Toc477962245"/>
      <w:bookmarkStart w:id="3070" w:name="_Toc477962732"/>
      <w:bookmarkStart w:id="3071" w:name="_Toc477963218"/>
      <w:bookmarkStart w:id="3072" w:name="_Toc477963714"/>
      <w:bookmarkStart w:id="3073" w:name="_Toc478042907"/>
      <w:bookmarkStart w:id="3074" w:name="_Toc478367158"/>
      <w:bookmarkStart w:id="3075" w:name="_Toc479083770"/>
      <w:bookmarkStart w:id="3076" w:name="_Marketing"/>
      <w:bookmarkStart w:id="3077" w:name="_Toc471374458"/>
      <w:bookmarkStart w:id="3078" w:name="_Toc477960032"/>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sidRPr="00475C7A">
        <w:t xml:space="preserve">Providers can request approval by uploading the request into HITS. See the chapter on ‘Uploading a Document’ in the </w:t>
      </w:r>
      <w:hyperlink r:id="rId103" w:history="1">
        <w:r w:rsidRPr="0065023C">
          <w:rPr>
            <w:rStyle w:val="Hyperlink"/>
          </w:rPr>
          <w:t>HITS User Guide</w:t>
        </w:r>
      </w:hyperlink>
      <w:r w:rsidRPr="00475C7A">
        <w:rPr>
          <w:i/>
        </w:rPr>
        <w:t xml:space="preserve"> </w:t>
      </w:r>
      <w:r w:rsidRPr="00475C7A">
        <w:t>for further information</w:t>
      </w:r>
      <w:r>
        <w:t>.</w:t>
      </w:r>
    </w:p>
    <w:p w14:paraId="230BD822" w14:textId="77777777" w:rsidR="000C58DC" w:rsidRDefault="00983AE6" w:rsidP="000C58DC">
      <w:r>
        <w:t xml:space="preserve">The provider must alert the department to its request by </w:t>
      </w:r>
      <w:r w:rsidR="006B20D6">
        <w:t>completing</w:t>
      </w:r>
      <w:r>
        <w:t xml:space="preserve"> the </w:t>
      </w:r>
      <w:r w:rsidR="007C3509">
        <w:t>p</w:t>
      </w:r>
      <w:r w:rsidRPr="00E03E53">
        <w:t xml:space="preserve">rovider online enquiry form at </w:t>
      </w:r>
      <w:hyperlink r:id="rId104" w:history="1">
        <w:r w:rsidR="000C58DC" w:rsidRPr="000C58DC">
          <w:rPr>
            <w:rStyle w:val="Hyperlink"/>
          </w:rPr>
          <w:t>www.education.gov.au/information-vet-student-loans-approved-providers</w:t>
        </w:r>
      </w:hyperlink>
      <w:r w:rsidR="000C58DC">
        <w:t>.</w:t>
      </w:r>
    </w:p>
    <w:p w14:paraId="186F5F67" w14:textId="77777777" w:rsidR="00983AE6" w:rsidRDefault="000C58DC" w:rsidP="00983AE6">
      <w:r>
        <w:t>C</w:t>
      </w:r>
      <w:r w:rsidR="00983AE6">
        <w:t>hoose ‘Other’ from the drop down list and insert the subject line:</w:t>
      </w:r>
    </w:p>
    <w:p w14:paraId="03ABBE19" w14:textId="77777777" w:rsidR="00983AE6" w:rsidRPr="0065023C" w:rsidRDefault="00983AE6" w:rsidP="00983AE6">
      <w:pPr>
        <w:rPr>
          <w:rStyle w:val="Emphasis"/>
        </w:rPr>
      </w:pPr>
      <w:r w:rsidRPr="0065023C">
        <w:rPr>
          <w:rStyle w:val="Emphasis"/>
        </w:rPr>
        <w:t>Request for variation to census day - [provider name]</w:t>
      </w:r>
    </w:p>
    <w:p w14:paraId="232A9292" w14:textId="1B9C309C" w:rsidR="00983AE6" w:rsidRPr="00736F23" w:rsidRDefault="00572874" w:rsidP="00983AE6">
      <w:pPr>
        <w:pStyle w:val="Heading2"/>
      </w:pPr>
      <w:bookmarkStart w:id="3079" w:name="_4.10_Marketing"/>
      <w:bookmarkStart w:id="3080" w:name="_Toc501621236"/>
      <w:bookmarkEnd w:id="3077"/>
      <w:bookmarkEnd w:id="3078"/>
      <w:bookmarkEnd w:id="3079"/>
      <w:r>
        <w:t>4.10 Marketing</w:t>
      </w:r>
      <w:bookmarkEnd w:id="3080"/>
    </w:p>
    <w:p w14:paraId="33459DD7" w14:textId="3609212C" w:rsidR="00983AE6" w:rsidRDefault="00983AE6" w:rsidP="00983AE6">
      <w:r w:rsidRPr="00736F23">
        <w:t xml:space="preserve">The Act and the Rules contain a number of provisions relating to marketing. It is the responsibility of approved </w:t>
      </w:r>
      <w:r>
        <w:t xml:space="preserve">course </w:t>
      </w:r>
      <w:r w:rsidRPr="00736F23">
        <w:t>providers to implement business practices in line with the legislative requirements and to assess the risk of those practices not meeting the legislative requirements.</w:t>
      </w:r>
    </w:p>
    <w:p w14:paraId="10C520CB" w14:textId="77777777" w:rsidR="00983AE6" w:rsidRPr="00736F23" w:rsidRDefault="00983AE6" w:rsidP="00983AE6">
      <w:r>
        <w:t xml:space="preserve">Providers should note that the marketing provisions (section 60 – 64 of the Act) are civil penalty provisions. Breaching section 60 (Misrepresenting </w:t>
      </w:r>
      <w:r w:rsidR="00454ED5">
        <w:t>VET Student Loans</w:t>
      </w:r>
      <w:r>
        <w:t>) may give rise to a maximum civil penalty of up to 240 penalty units.  Breaching section 61 (Offering certain inducements) may give rise to a maximum civil penalty of up to 120 penalty units. Breaching any of sections 62 (Engaging in cold calling), 63 (Use of third party contact lists) or 64 (Other marketing requirements) may give rise to a maximum civil penalty of up to 60 penalty units.</w:t>
      </w:r>
    </w:p>
    <w:p w14:paraId="7587BD7F" w14:textId="77777777" w:rsidR="00983AE6" w:rsidRPr="00736F23" w:rsidRDefault="00983AE6" w:rsidP="00F15113">
      <w:pPr>
        <w:pStyle w:val="Heading3"/>
        <w:keepNext/>
        <w:keepLines/>
      </w:pPr>
      <w:bookmarkStart w:id="3081" w:name="_Toc471374459"/>
      <w:bookmarkStart w:id="3082" w:name="_Toc483222927"/>
      <w:bookmarkStart w:id="3083" w:name="_Toc501621237"/>
      <w:r>
        <w:lastRenderedPageBreak/>
        <w:t xml:space="preserve">4.10.1   </w:t>
      </w:r>
      <w:r w:rsidRPr="00736F23">
        <w:t xml:space="preserve">Misrepresenting </w:t>
      </w:r>
      <w:r w:rsidR="00454ED5">
        <w:t>VET Student Loans</w:t>
      </w:r>
      <w:bookmarkEnd w:id="3081"/>
      <w:bookmarkEnd w:id="3082"/>
      <w:bookmarkEnd w:id="3083"/>
    </w:p>
    <w:p w14:paraId="737DA25A" w14:textId="77777777" w:rsidR="00983AE6" w:rsidRDefault="00983AE6" w:rsidP="00983AE6">
      <w:pPr>
        <w:rPr>
          <w:rStyle w:val="ReferencesChar"/>
          <w:rFonts w:asciiTheme="minorHAnsi" w:hAnsiTheme="minorHAnsi" w:cstheme="minorHAnsi"/>
          <w:sz w:val="12"/>
          <w:szCs w:val="12"/>
        </w:rPr>
      </w:pPr>
      <w:r w:rsidRPr="00736F23">
        <w:t>An approved</w:t>
      </w:r>
      <w:r>
        <w:t xml:space="preserve"> course</w:t>
      </w:r>
      <w:r w:rsidRPr="00736F23">
        <w:t xml:space="preserve"> provider must not represent that a VET student loan is not a loan or does not have to be repaid</w:t>
      </w:r>
      <w:r w:rsidRPr="00E15FC0">
        <w:rPr>
          <w:rStyle w:val="ReferencesChar"/>
          <w:rFonts w:asciiTheme="minorHAnsi" w:hAnsiTheme="minorHAnsi" w:cstheme="minorHAnsi"/>
          <w:color w:val="3333FF"/>
          <w:szCs w:val="16"/>
        </w:rPr>
        <w:t xml:space="preserve"> </w:t>
      </w:r>
      <w:r w:rsidRPr="0065023C">
        <w:rPr>
          <w:rStyle w:val="ReferenceChar"/>
        </w:rPr>
        <w:t>[Act s 60]</w:t>
      </w:r>
      <w:r w:rsidRPr="00736F23">
        <w:rPr>
          <w:rStyle w:val="ReferencesChar"/>
          <w:rFonts w:asciiTheme="minorHAnsi" w:hAnsiTheme="minorHAnsi" w:cstheme="minorHAnsi"/>
          <w:sz w:val="20"/>
          <w:szCs w:val="20"/>
        </w:rPr>
        <w:t>.</w:t>
      </w:r>
      <w:r w:rsidRPr="00736F23">
        <w:rPr>
          <w:rStyle w:val="ReferencesChar"/>
          <w:rFonts w:asciiTheme="minorHAnsi" w:hAnsiTheme="minorHAnsi" w:cstheme="minorHAnsi"/>
          <w:sz w:val="12"/>
          <w:szCs w:val="12"/>
        </w:rPr>
        <w:t xml:space="preserve">  </w:t>
      </w:r>
    </w:p>
    <w:p w14:paraId="35CA4238" w14:textId="77777777" w:rsidR="00983AE6" w:rsidRPr="00736F23" w:rsidRDefault="00983AE6" w:rsidP="00983AE6">
      <w:pPr>
        <w:pStyle w:val="Heading3"/>
      </w:pPr>
      <w:bookmarkStart w:id="3084" w:name="_Toc481649912"/>
      <w:bookmarkStart w:id="3085" w:name="_Toc481650388"/>
      <w:bookmarkStart w:id="3086" w:name="_Toc471374460"/>
      <w:bookmarkStart w:id="3087" w:name="_Toc483222928"/>
      <w:bookmarkStart w:id="3088" w:name="_Toc501621238"/>
      <w:bookmarkEnd w:id="3084"/>
      <w:bookmarkEnd w:id="3085"/>
      <w:r>
        <w:t xml:space="preserve">4.10.2   </w:t>
      </w:r>
      <w:r w:rsidRPr="00736F23">
        <w:t>Offering inducements</w:t>
      </w:r>
      <w:bookmarkEnd w:id="3086"/>
      <w:bookmarkEnd w:id="3087"/>
      <w:bookmarkEnd w:id="3088"/>
    </w:p>
    <w:p w14:paraId="2B5B2AFF" w14:textId="77777777" w:rsidR="00983AE6" w:rsidRDefault="00983AE6" w:rsidP="00983AE6">
      <w:pPr>
        <w:rPr>
          <w:rStyle w:val="ReferencesChar"/>
          <w:rFonts w:asciiTheme="minorHAnsi" w:hAnsiTheme="minorHAnsi" w:cstheme="minorHAnsi"/>
          <w:sz w:val="20"/>
          <w:szCs w:val="20"/>
        </w:rPr>
      </w:pPr>
      <w:r w:rsidRPr="00736F23">
        <w:t xml:space="preserve">An approved </w:t>
      </w:r>
      <w:r>
        <w:t xml:space="preserve">course </w:t>
      </w:r>
      <w:r w:rsidRPr="00736F23">
        <w:t xml:space="preserve">provider must not offer or provide a benefit or cause a benefit to be offered or provided that would </w:t>
      </w:r>
      <w:r>
        <w:t xml:space="preserve">be </w:t>
      </w:r>
      <w:r w:rsidRPr="00736F23">
        <w:t>reasonably likely to induce a person to apply for a VET student loan for a course</w:t>
      </w:r>
      <w:r w:rsidRPr="00736F23">
        <w:rPr>
          <w:sz w:val="20"/>
          <w:szCs w:val="20"/>
        </w:rPr>
        <w:t xml:space="preserve"> </w:t>
      </w:r>
      <w:r w:rsidRPr="0065023C">
        <w:rPr>
          <w:rStyle w:val="ReferenceChar"/>
        </w:rPr>
        <w:t>[Act s 61]</w:t>
      </w:r>
      <w:r w:rsidRPr="00736F23">
        <w:rPr>
          <w:rStyle w:val="ReferencesChar"/>
          <w:rFonts w:asciiTheme="minorHAnsi" w:hAnsiTheme="minorHAnsi" w:cstheme="minorHAnsi"/>
          <w:sz w:val="20"/>
          <w:szCs w:val="20"/>
        </w:rPr>
        <w:t xml:space="preserve">. </w:t>
      </w:r>
    </w:p>
    <w:p w14:paraId="638D4B81" w14:textId="77777777" w:rsidR="00983AE6" w:rsidRDefault="00983AE6" w:rsidP="00983AE6">
      <w:pPr>
        <w:rPr>
          <w:szCs w:val="20"/>
        </w:rPr>
      </w:pPr>
      <w:r w:rsidRPr="002C0EB0">
        <w:rPr>
          <w:szCs w:val="20"/>
        </w:rPr>
        <w:t xml:space="preserve">This does not apply in relation </w:t>
      </w:r>
      <w:r>
        <w:rPr>
          <w:szCs w:val="20"/>
        </w:rPr>
        <w:t xml:space="preserve">to the following benefits </w:t>
      </w:r>
      <w:r w:rsidRPr="0065023C">
        <w:rPr>
          <w:rStyle w:val="ReferenceChar"/>
        </w:rPr>
        <w:t>[Rules, s 136]</w:t>
      </w:r>
      <w:r>
        <w:rPr>
          <w:szCs w:val="20"/>
        </w:rPr>
        <w:t>:</w:t>
      </w:r>
    </w:p>
    <w:p w14:paraId="3E969005" w14:textId="77777777" w:rsidR="00983AE6" w:rsidRDefault="00983AE6" w:rsidP="00A0727A">
      <w:pPr>
        <w:pStyle w:val="ListBullet"/>
        <w:numPr>
          <w:ilvl w:val="0"/>
          <w:numId w:val="74"/>
        </w:numPr>
      </w:pPr>
      <w:r>
        <w:t>the content and quality of the course</w:t>
      </w:r>
    </w:p>
    <w:p w14:paraId="311FE8D5" w14:textId="77777777" w:rsidR="00983AE6" w:rsidRDefault="00983AE6" w:rsidP="00A0727A">
      <w:pPr>
        <w:pStyle w:val="ListBullet"/>
        <w:numPr>
          <w:ilvl w:val="0"/>
          <w:numId w:val="74"/>
        </w:numPr>
      </w:pPr>
      <w:r>
        <w:t>the amount of the tuition fees for the course</w:t>
      </w:r>
    </w:p>
    <w:p w14:paraId="30340521" w14:textId="77777777" w:rsidR="00983AE6" w:rsidRDefault="00983AE6" w:rsidP="00A0727A">
      <w:pPr>
        <w:pStyle w:val="ListBullet"/>
        <w:numPr>
          <w:ilvl w:val="0"/>
          <w:numId w:val="74"/>
        </w:numPr>
      </w:pPr>
      <w:r>
        <w:t>the availability of a VET student loan for the course</w:t>
      </w:r>
    </w:p>
    <w:p w14:paraId="56B57CFB" w14:textId="77777777" w:rsidR="00983AE6" w:rsidRPr="002C0EB0" w:rsidRDefault="00983AE6" w:rsidP="00A0727A">
      <w:pPr>
        <w:pStyle w:val="ListBullet"/>
        <w:numPr>
          <w:ilvl w:val="0"/>
          <w:numId w:val="74"/>
        </w:numPr>
      </w:pPr>
      <w:r>
        <w:t>marketing merchandise of up to a total value of $30 per person.</w:t>
      </w:r>
    </w:p>
    <w:p w14:paraId="0B8899A8" w14:textId="77777777" w:rsidR="00983AE6" w:rsidRPr="0097236C" w:rsidRDefault="00983AE6" w:rsidP="00B13D45">
      <w:pPr>
        <w:pStyle w:val="Heading5"/>
      </w:pPr>
      <w:bookmarkStart w:id="3089" w:name="_Inappropriate_inducements"/>
      <w:bookmarkStart w:id="3090" w:name="_Toc481505288"/>
      <w:bookmarkStart w:id="3091" w:name="_Toc483209600"/>
      <w:bookmarkStart w:id="3092" w:name="_Toc483222929"/>
      <w:bookmarkEnd w:id="3089"/>
      <w:r w:rsidRPr="0097236C">
        <w:t>Inappropriate inducements</w:t>
      </w:r>
      <w:bookmarkEnd w:id="3090"/>
      <w:bookmarkEnd w:id="3091"/>
      <w:bookmarkEnd w:id="3092"/>
    </w:p>
    <w:p w14:paraId="127B67CC" w14:textId="77777777" w:rsidR="00983AE6" w:rsidRPr="00A3653B" w:rsidRDefault="00983AE6" w:rsidP="00983AE6">
      <w:r w:rsidRPr="00A3653B">
        <w:t>Generally the list of inappropriate inducements include</w:t>
      </w:r>
      <w:r>
        <w:t>s</w:t>
      </w:r>
      <w:r w:rsidRPr="00A3653B">
        <w:t xml:space="preserve"> items which could be used by the student outside of the period of the VET unit or course of study, or are unrelated to the course such as travel, entertainment, hospit</w:t>
      </w:r>
      <w:r>
        <w:t>ality or accommodation services,</w:t>
      </w:r>
      <w:r w:rsidRPr="00A3653B">
        <w:t xml:space="preserve"> vouchers r</w:t>
      </w:r>
      <w:r>
        <w:t>edeemable for goods or services</w:t>
      </w:r>
      <w:r w:rsidRPr="00A3653B">
        <w:t xml:space="preserve"> and money.</w:t>
      </w:r>
    </w:p>
    <w:p w14:paraId="2349C591" w14:textId="77777777" w:rsidR="00983AE6" w:rsidRPr="00A3653B" w:rsidRDefault="00983AE6" w:rsidP="00983AE6">
      <w:r>
        <w:t>Providers may have regard to the following when determining whether a benefit represents an inappropriate inducement – depending on the circumstances, these factors would be less likely to suggest that the benefit is an inappropriate benefit:</w:t>
      </w:r>
    </w:p>
    <w:p w14:paraId="602D17F3" w14:textId="77777777" w:rsidR="00983AE6" w:rsidRPr="00CC2120" w:rsidRDefault="00983AE6" w:rsidP="00A0727A">
      <w:pPr>
        <w:pStyle w:val="ListBullet"/>
        <w:numPr>
          <w:ilvl w:val="0"/>
          <w:numId w:val="74"/>
        </w:numPr>
        <w:rPr>
          <w:rFonts w:eastAsia="Times New Roman"/>
        </w:rPr>
      </w:pPr>
      <w:r>
        <w:rPr>
          <w:rFonts w:eastAsia="Times New Roman"/>
        </w:rPr>
        <w:t>t</w:t>
      </w:r>
      <w:r w:rsidRPr="00CC2120">
        <w:rPr>
          <w:rFonts w:eastAsia="Times New Roman"/>
        </w:rPr>
        <w:t>here is no immediate benefit to the person</w:t>
      </w:r>
      <w:r>
        <w:rPr>
          <w:rFonts w:eastAsia="Times New Roman"/>
        </w:rPr>
        <w:t>,</w:t>
      </w:r>
      <w:r w:rsidRPr="00CC2120">
        <w:rPr>
          <w:rFonts w:eastAsia="Times New Roman"/>
        </w:rPr>
        <w:t xml:space="preserve"> as the person would still be required to complete the course in order to obtain the benefit</w:t>
      </w:r>
      <w:r>
        <w:rPr>
          <w:rFonts w:eastAsia="Times New Roman"/>
        </w:rPr>
        <w:t>.</w:t>
      </w:r>
      <w:r w:rsidRPr="00CC2120">
        <w:rPr>
          <w:rFonts w:eastAsia="Times New Roman"/>
        </w:rPr>
        <w:t xml:space="preserve"> </w:t>
      </w:r>
    </w:p>
    <w:p w14:paraId="3CFCC209" w14:textId="77777777" w:rsidR="00983AE6" w:rsidRPr="00CC2120" w:rsidRDefault="00983AE6" w:rsidP="00A0727A">
      <w:pPr>
        <w:pStyle w:val="ListBullet"/>
        <w:numPr>
          <w:ilvl w:val="0"/>
          <w:numId w:val="74"/>
        </w:numPr>
        <w:rPr>
          <w:rFonts w:eastAsia="Times New Roman"/>
        </w:rPr>
      </w:pPr>
      <w:r>
        <w:rPr>
          <w:rFonts w:eastAsia="Times New Roman"/>
        </w:rPr>
        <w:t>t</w:t>
      </w:r>
      <w:r w:rsidRPr="00CC2120">
        <w:rPr>
          <w:rFonts w:eastAsia="Times New Roman"/>
        </w:rPr>
        <w:t>he benefit in itself would not be a replacement for the course of st</w:t>
      </w:r>
      <w:r>
        <w:rPr>
          <w:rFonts w:eastAsia="Times New Roman"/>
        </w:rPr>
        <w:t>udy.</w:t>
      </w:r>
      <w:r w:rsidRPr="00CC2120">
        <w:rPr>
          <w:rFonts w:eastAsia="Times New Roman"/>
        </w:rPr>
        <w:t xml:space="preserve"> </w:t>
      </w:r>
    </w:p>
    <w:p w14:paraId="47AC974E" w14:textId="77777777" w:rsidR="00983AE6" w:rsidRDefault="00983AE6" w:rsidP="00A0727A">
      <w:pPr>
        <w:pStyle w:val="ListBullet"/>
        <w:numPr>
          <w:ilvl w:val="0"/>
          <w:numId w:val="74"/>
        </w:numPr>
        <w:rPr>
          <w:rFonts w:eastAsia="Times New Roman"/>
        </w:rPr>
      </w:pPr>
      <w:r>
        <w:rPr>
          <w:rFonts w:eastAsia="Times New Roman"/>
        </w:rPr>
        <w:t>t</w:t>
      </w:r>
      <w:r w:rsidRPr="00CC2120">
        <w:rPr>
          <w:rFonts w:eastAsia="Times New Roman"/>
        </w:rPr>
        <w:t>he monetary value of the benefit is unlikely to induce a student to enrol in a course</w:t>
      </w:r>
      <w:r>
        <w:rPr>
          <w:rFonts w:eastAsia="Times New Roman"/>
        </w:rPr>
        <w:t>.</w:t>
      </w:r>
      <w:r w:rsidRPr="00CC2120">
        <w:rPr>
          <w:rFonts w:eastAsia="Times New Roman"/>
        </w:rPr>
        <w:t xml:space="preserve"> </w:t>
      </w:r>
    </w:p>
    <w:p w14:paraId="4335627A" w14:textId="77777777" w:rsidR="00983AE6" w:rsidRPr="0065023C" w:rsidRDefault="00983AE6" w:rsidP="00983AE6">
      <w:pPr>
        <w:rPr>
          <w:rStyle w:val="Strong"/>
        </w:rPr>
      </w:pPr>
      <w:r w:rsidRPr="0065023C">
        <w:rPr>
          <w:rStyle w:val="Strong"/>
        </w:rPr>
        <w:t>DISCLAIMER:</w:t>
      </w:r>
    </w:p>
    <w:p w14:paraId="720FC5AC" w14:textId="77777777" w:rsidR="00983AE6" w:rsidRPr="0065023C" w:rsidRDefault="00983AE6" w:rsidP="00983AE6">
      <w:pPr>
        <w:rPr>
          <w:rStyle w:val="Strong"/>
        </w:rPr>
      </w:pPr>
      <w:r w:rsidRPr="0065023C">
        <w:rPr>
          <w:rStyle w:val="Strong"/>
        </w:rPr>
        <w:t>This information is provided as a basic guide to assist providers to determine whether they require independent legal advice to ensure compliance. It should not be relied upon as legal advice or as an excuse for inappropriate behaviour.</w:t>
      </w:r>
    </w:p>
    <w:p w14:paraId="00259A07" w14:textId="77777777" w:rsidR="00983AE6" w:rsidRPr="00736F23" w:rsidRDefault="00983AE6" w:rsidP="00983AE6">
      <w:pPr>
        <w:pStyle w:val="Heading3"/>
      </w:pPr>
      <w:bookmarkStart w:id="3093" w:name="_Toc478042912"/>
      <w:bookmarkStart w:id="3094" w:name="_Toc478367163"/>
      <w:bookmarkStart w:id="3095" w:name="_Toc479083775"/>
      <w:bookmarkStart w:id="3096" w:name="_Toc478042913"/>
      <w:bookmarkStart w:id="3097" w:name="_Toc478367164"/>
      <w:bookmarkStart w:id="3098" w:name="_Toc479083776"/>
      <w:bookmarkStart w:id="3099" w:name="_Toc478042914"/>
      <w:bookmarkStart w:id="3100" w:name="_Toc478367165"/>
      <w:bookmarkStart w:id="3101" w:name="_Toc479083777"/>
      <w:bookmarkStart w:id="3102" w:name="_Toc478042915"/>
      <w:bookmarkStart w:id="3103" w:name="_Toc478367166"/>
      <w:bookmarkStart w:id="3104" w:name="_Toc479083778"/>
      <w:bookmarkStart w:id="3105" w:name="_Toc478042916"/>
      <w:bookmarkStart w:id="3106" w:name="_Toc478367167"/>
      <w:bookmarkStart w:id="3107" w:name="_Toc479083779"/>
      <w:bookmarkStart w:id="3108" w:name="_Toc478042917"/>
      <w:bookmarkStart w:id="3109" w:name="_Toc478367168"/>
      <w:bookmarkStart w:id="3110" w:name="_Toc479083780"/>
      <w:bookmarkStart w:id="3111" w:name="_Toc478042918"/>
      <w:bookmarkStart w:id="3112" w:name="_Toc478367169"/>
      <w:bookmarkStart w:id="3113" w:name="_Toc479083781"/>
      <w:bookmarkStart w:id="3114" w:name="_Toc478042919"/>
      <w:bookmarkStart w:id="3115" w:name="_Toc478367170"/>
      <w:bookmarkStart w:id="3116" w:name="_Toc479083782"/>
      <w:bookmarkStart w:id="3117" w:name="_Toc478042920"/>
      <w:bookmarkStart w:id="3118" w:name="_Toc478367171"/>
      <w:bookmarkStart w:id="3119" w:name="_Toc479083783"/>
      <w:bookmarkStart w:id="3120" w:name="_Toc471374462"/>
      <w:bookmarkStart w:id="3121" w:name="_Toc483222930"/>
      <w:bookmarkStart w:id="3122" w:name="_Toc501621239"/>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t xml:space="preserve">4.10.3   </w:t>
      </w:r>
      <w:r w:rsidRPr="00736F23">
        <w:t>Engaging in cold-calling</w:t>
      </w:r>
      <w:bookmarkEnd w:id="3120"/>
      <w:bookmarkEnd w:id="3121"/>
      <w:bookmarkEnd w:id="3122"/>
    </w:p>
    <w:p w14:paraId="3D92ACED" w14:textId="2155F860" w:rsidR="00983AE6" w:rsidRDefault="00983AE6" w:rsidP="00983AE6">
      <w:pPr>
        <w:rPr>
          <w:rStyle w:val="ReferencesChar"/>
          <w:rFonts w:asciiTheme="minorHAnsi" w:hAnsiTheme="minorHAnsi" w:cstheme="minorHAnsi"/>
        </w:rPr>
      </w:pPr>
      <w:r w:rsidRPr="00736F23">
        <w:t>An approved</w:t>
      </w:r>
      <w:r>
        <w:t xml:space="preserve"> course</w:t>
      </w:r>
      <w:r w:rsidRPr="00736F23">
        <w:t xml:space="preserve"> provider must not when cold-calling another person to market, advertise or promote a course, mention the possible availability of </w:t>
      </w:r>
      <w:r w:rsidR="00454ED5">
        <w:t>VET Student Loans</w:t>
      </w:r>
      <w:r w:rsidRPr="00736F23">
        <w:t xml:space="preserve"> for students undertaking the course</w:t>
      </w:r>
      <w:r w:rsidRPr="0065023C">
        <w:rPr>
          <w:rStyle w:val="ReferenceChar"/>
        </w:rPr>
        <w:t xml:space="preserve"> [Act s 62(1)]</w:t>
      </w:r>
      <w:r w:rsidRPr="0065023C">
        <w:t>.</w:t>
      </w:r>
    </w:p>
    <w:p w14:paraId="3F00C449" w14:textId="77777777" w:rsidR="00983AE6" w:rsidRDefault="00983AE6" w:rsidP="00983AE6">
      <w:pPr>
        <w:rPr>
          <w:rStyle w:val="ReferencesChar"/>
          <w:rFonts w:asciiTheme="minorHAnsi" w:hAnsiTheme="minorHAnsi" w:cstheme="minorHAnsi"/>
        </w:rPr>
      </w:pPr>
      <w:r w:rsidRPr="00736F23">
        <w:t>Cold-calling includes making unsolicited contact with a student (or prospective student) in person, or by telephone, email or other form of electronic communication</w:t>
      </w:r>
      <w:r w:rsidRPr="00736F23">
        <w:rPr>
          <w:sz w:val="20"/>
          <w:szCs w:val="20"/>
        </w:rPr>
        <w:t xml:space="preserve"> </w:t>
      </w:r>
      <w:r w:rsidRPr="0065023C">
        <w:rPr>
          <w:rStyle w:val="ReferenceChar"/>
        </w:rPr>
        <w:t>[Act s 62(2)]</w:t>
      </w:r>
      <w:r w:rsidRPr="0065023C">
        <w:t>.</w:t>
      </w:r>
    </w:p>
    <w:p w14:paraId="1B76F1A0" w14:textId="77777777" w:rsidR="00983AE6" w:rsidRPr="00736F23" w:rsidRDefault="00983AE6" w:rsidP="00983AE6">
      <w:pPr>
        <w:pStyle w:val="Heading3"/>
      </w:pPr>
      <w:bookmarkStart w:id="3123" w:name="_Toc481649916"/>
      <w:bookmarkStart w:id="3124" w:name="_Toc481650392"/>
      <w:bookmarkStart w:id="3125" w:name="_Toc471374463"/>
      <w:bookmarkStart w:id="3126" w:name="_Toc483222931"/>
      <w:bookmarkStart w:id="3127" w:name="_Toc501621240"/>
      <w:bookmarkEnd w:id="3123"/>
      <w:bookmarkEnd w:id="3124"/>
      <w:r>
        <w:t xml:space="preserve">4.10.4   </w:t>
      </w:r>
      <w:r w:rsidRPr="00736F23">
        <w:t>Use of third party contact lists</w:t>
      </w:r>
      <w:bookmarkEnd w:id="3125"/>
      <w:bookmarkEnd w:id="3126"/>
      <w:bookmarkEnd w:id="3127"/>
      <w:r w:rsidRPr="00736F23">
        <w:t xml:space="preserve"> </w:t>
      </w:r>
    </w:p>
    <w:p w14:paraId="3D203714" w14:textId="7154B749" w:rsidR="00983AE6" w:rsidRPr="00736F23" w:rsidRDefault="00983AE6" w:rsidP="00983AE6">
      <w:pPr>
        <w:rPr>
          <w:rStyle w:val="ReferencesChar"/>
          <w:rFonts w:asciiTheme="minorHAnsi" w:hAnsiTheme="minorHAnsi" w:cstheme="minorHAnsi"/>
          <w:b w:val="0"/>
          <w:sz w:val="12"/>
          <w:szCs w:val="12"/>
        </w:rPr>
      </w:pPr>
      <w:r w:rsidRPr="00736F23">
        <w:t xml:space="preserve">An approved </w:t>
      </w:r>
      <w:r>
        <w:t xml:space="preserve">course </w:t>
      </w:r>
      <w:r w:rsidRPr="00736F23">
        <w:t xml:space="preserve">provider must not use contact details received from another person to contact a student (or prospective student) to market, advertise or promote a course </w:t>
      </w:r>
      <w:r>
        <w:t xml:space="preserve">or enrol the student in a course, </w:t>
      </w:r>
      <w:r w:rsidRPr="00736F23">
        <w:t>and in so doing mention the possible availability of a VET student loan</w:t>
      </w:r>
      <w:r w:rsidRPr="00736F23">
        <w:rPr>
          <w:sz w:val="20"/>
          <w:szCs w:val="20"/>
        </w:rPr>
        <w:t xml:space="preserve"> </w:t>
      </w:r>
      <w:r w:rsidRPr="004429C0">
        <w:rPr>
          <w:rStyle w:val="ReferenceChar"/>
        </w:rPr>
        <w:t>[Act s 63]</w:t>
      </w:r>
      <w:r w:rsidRPr="00736F23">
        <w:rPr>
          <w:rStyle w:val="ReferencesChar"/>
          <w:rFonts w:asciiTheme="minorHAnsi" w:hAnsiTheme="minorHAnsi" w:cstheme="minorHAnsi"/>
        </w:rPr>
        <w:t>.</w:t>
      </w:r>
      <w:r w:rsidRPr="00E15FC0">
        <w:rPr>
          <w:rStyle w:val="ReferencesChar"/>
          <w:rFonts w:asciiTheme="minorHAnsi" w:hAnsiTheme="minorHAnsi" w:cstheme="minorHAnsi"/>
          <w:color w:val="3333FF"/>
          <w:szCs w:val="16"/>
        </w:rPr>
        <w:t xml:space="preserve"> </w:t>
      </w:r>
    </w:p>
    <w:p w14:paraId="17EDDDB3" w14:textId="77777777" w:rsidR="00983AE6" w:rsidRPr="00252E11" w:rsidRDefault="00983AE6" w:rsidP="00983AE6">
      <w:r w:rsidRPr="00736F23">
        <w:t xml:space="preserve">This does not apply where the student (or prospective student) has given express consent to be contacted by the </w:t>
      </w:r>
      <w:r w:rsidRPr="00252E11">
        <w:t xml:space="preserve">particular approved </w:t>
      </w:r>
      <w:r>
        <w:t xml:space="preserve">course </w:t>
      </w:r>
      <w:r w:rsidRPr="00252E11">
        <w:t xml:space="preserve">provider </w:t>
      </w:r>
      <w:r w:rsidRPr="004429C0">
        <w:rPr>
          <w:rStyle w:val="ReferenceChar"/>
        </w:rPr>
        <w:t>[Rules s 138(1)]</w:t>
      </w:r>
      <w:r w:rsidRPr="00252E11">
        <w:rPr>
          <w:rStyle w:val="ReferencesChar"/>
          <w:rFonts w:asciiTheme="minorHAnsi" w:hAnsiTheme="minorHAnsi" w:cstheme="minorHAnsi"/>
        </w:rPr>
        <w:t xml:space="preserve">. </w:t>
      </w:r>
      <w:r w:rsidRPr="00252E11">
        <w:t>A student is taken to have provided express consent if</w:t>
      </w:r>
      <w:r>
        <w:t xml:space="preserve"> all the following are met </w:t>
      </w:r>
      <w:r w:rsidRPr="004429C0">
        <w:rPr>
          <w:rStyle w:val="ReferenceChar"/>
        </w:rPr>
        <w:t>[Rules s 138(2)]</w:t>
      </w:r>
      <w:r w:rsidRPr="00252E11">
        <w:t>:</w:t>
      </w:r>
    </w:p>
    <w:p w14:paraId="1B5ED0EE" w14:textId="77777777" w:rsidR="00983AE6" w:rsidRPr="004429C0" w:rsidRDefault="00983AE6" w:rsidP="00A0727A">
      <w:pPr>
        <w:pStyle w:val="ListBullet"/>
        <w:numPr>
          <w:ilvl w:val="0"/>
          <w:numId w:val="74"/>
        </w:numPr>
      </w:pPr>
      <w:r w:rsidRPr="004429C0">
        <w:lastRenderedPageBreak/>
        <w:t>information in the request was presented clearly, and set out the specific purpose for which the student’s personal information would be used if consent were given, and</w:t>
      </w:r>
    </w:p>
    <w:p w14:paraId="1F81F715" w14:textId="77777777" w:rsidR="00983AE6" w:rsidRPr="004429C0" w:rsidRDefault="00983AE6" w:rsidP="00A0727A">
      <w:pPr>
        <w:pStyle w:val="ListBullet"/>
        <w:numPr>
          <w:ilvl w:val="0"/>
          <w:numId w:val="74"/>
        </w:numPr>
      </w:pPr>
      <w:r w:rsidRPr="004429C0">
        <w:t>the request was prominent, and</w:t>
      </w:r>
    </w:p>
    <w:p w14:paraId="57F09215" w14:textId="77777777" w:rsidR="00983AE6" w:rsidRPr="004429C0" w:rsidRDefault="00983AE6" w:rsidP="00A0727A">
      <w:pPr>
        <w:pStyle w:val="ListBullet"/>
        <w:numPr>
          <w:ilvl w:val="0"/>
          <w:numId w:val="74"/>
        </w:numPr>
      </w:pPr>
      <w:r w:rsidRPr="004429C0">
        <w:t>the student was able to give consent in a separate optional tick box from other consents, and</w:t>
      </w:r>
    </w:p>
    <w:p w14:paraId="432104F9" w14:textId="77777777" w:rsidR="00983AE6" w:rsidRPr="004429C0" w:rsidRDefault="00983AE6" w:rsidP="00A0727A">
      <w:pPr>
        <w:pStyle w:val="ListBullet"/>
        <w:numPr>
          <w:ilvl w:val="0"/>
          <w:numId w:val="74"/>
        </w:numPr>
      </w:pPr>
      <w:r w:rsidRPr="004429C0">
        <w:t>the request was not a required field to be answered in order for a person to submit other information, and</w:t>
      </w:r>
    </w:p>
    <w:p w14:paraId="64C89A06" w14:textId="77777777" w:rsidR="00983AE6" w:rsidRPr="004429C0" w:rsidRDefault="00983AE6" w:rsidP="00A0727A">
      <w:pPr>
        <w:pStyle w:val="ListBullet"/>
        <w:numPr>
          <w:ilvl w:val="0"/>
          <w:numId w:val="74"/>
        </w:numPr>
      </w:pPr>
      <w:r w:rsidRPr="004429C0">
        <w:t>the request did not include a default tick for consent, and</w:t>
      </w:r>
    </w:p>
    <w:p w14:paraId="7EC9C2A6" w14:textId="77777777" w:rsidR="00983AE6" w:rsidRPr="004429C0" w:rsidRDefault="00983AE6" w:rsidP="00A0727A">
      <w:pPr>
        <w:pStyle w:val="ListBullet"/>
        <w:numPr>
          <w:ilvl w:val="0"/>
          <w:numId w:val="74"/>
        </w:numPr>
      </w:pPr>
      <w:r w:rsidRPr="004429C0">
        <w:t>the request named the provider, and</w:t>
      </w:r>
    </w:p>
    <w:p w14:paraId="1D3D5EC8" w14:textId="77777777" w:rsidR="00983AE6" w:rsidRPr="004429C0" w:rsidRDefault="00983AE6" w:rsidP="00A0727A">
      <w:pPr>
        <w:pStyle w:val="ListBullet"/>
        <w:numPr>
          <w:ilvl w:val="0"/>
          <w:numId w:val="74"/>
        </w:numPr>
        <w:rPr>
          <w:rStyle w:val="ReferencesChar"/>
          <w:rFonts w:asciiTheme="minorHAnsi" w:hAnsiTheme="minorHAnsi" w:cstheme="minorBidi"/>
          <w:b w:val="0"/>
          <w:color w:val="auto"/>
          <w:sz w:val="22"/>
        </w:rPr>
      </w:pPr>
      <w:r w:rsidRPr="004429C0">
        <w:t>the request detailed any referral fee or other fee that would be paid to the person who made the request and any other benefit that would be provided to the person who made the request</w:t>
      </w:r>
      <w:r w:rsidRPr="004429C0">
        <w:rPr>
          <w:rStyle w:val="ReferencesChar"/>
          <w:rFonts w:asciiTheme="minorHAnsi" w:hAnsiTheme="minorHAnsi" w:cstheme="minorBidi"/>
          <w:b w:val="0"/>
          <w:color w:val="auto"/>
          <w:sz w:val="22"/>
        </w:rPr>
        <w:t xml:space="preserve">. </w:t>
      </w:r>
    </w:p>
    <w:p w14:paraId="5669D787" w14:textId="77777777" w:rsidR="00983AE6" w:rsidRPr="004429C0" w:rsidRDefault="00983AE6" w:rsidP="00983AE6">
      <w:pPr>
        <w:rPr>
          <w:rStyle w:val="ReferencesChar"/>
          <w:rFonts w:ascii="Times New Roman" w:hAnsi="Times New Roman" w:cs="Times New Roman"/>
          <w:b w:val="0"/>
          <w:color w:val="auto"/>
          <w:sz w:val="22"/>
        </w:rPr>
      </w:pPr>
      <w:r w:rsidRPr="00272F81">
        <w:t>A student is also taken to have provided express consent if the student initiates contact with a third party for the purposes of giving information to a provider, or getting information from a provider, relating to education and training</w:t>
      </w:r>
      <w:r w:rsidRPr="00736F23">
        <w:t xml:space="preserve"> </w:t>
      </w:r>
      <w:r w:rsidRPr="004429C0">
        <w:rPr>
          <w:rStyle w:val="ReferenceChar"/>
        </w:rPr>
        <w:t>[Rules s 138(3)]</w:t>
      </w:r>
      <w:r w:rsidRPr="006675A1">
        <w:rPr>
          <w:rStyle w:val="ReferencesChar"/>
          <w:rFonts w:asciiTheme="minorHAnsi" w:hAnsiTheme="minorHAnsi" w:cstheme="minorHAnsi"/>
          <w:color w:val="auto"/>
          <w:sz w:val="22"/>
        </w:rPr>
        <w:t>.</w:t>
      </w:r>
      <w:r>
        <w:rPr>
          <w:rFonts w:ascii="Times New Roman" w:hAnsi="Times New Roman" w:cs="Times New Roman"/>
        </w:rPr>
        <w:t xml:space="preserve"> </w:t>
      </w:r>
      <w:r w:rsidRPr="00272F81">
        <w:t>T</w:t>
      </w:r>
      <w:r w:rsidRPr="00566171">
        <w:t xml:space="preserve">he purpose of </w:t>
      </w:r>
      <w:r w:rsidRPr="00272F81">
        <w:t xml:space="preserve">this </w:t>
      </w:r>
      <w:r>
        <w:t>provision</w:t>
      </w:r>
      <w:r w:rsidRPr="00272F81">
        <w:t xml:space="preserve"> </w:t>
      </w:r>
      <w:r w:rsidRPr="00566171">
        <w:t>is to allow students who are deliberately seeking information on courses</w:t>
      </w:r>
      <w:r w:rsidRPr="00272F81">
        <w:t xml:space="preserve"> from a particular provider</w:t>
      </w:r>
      <w:r w:rsidRPr="00566171">
        <w:t xml:space="preserve"> to agree to being contacted. </w:t>
      </w:r>
    </w:p>
    <w:p w14:paraId="357E2AB7" w14:textId="77777777" w:rsidR="00983AE6" w:rsidRPr="00272F81" w:rsidRDefault="00983AE6" w:rsidP="00983AE6">
      <w:pPr>
        <w:pStyle w:val="Heading3"/>
      </w:pPr>
      <w:bookmarkStart w:id="3128" w:name="_Toc483222932"/>
      <w:bookmarkStart w:id="3129" w:name="_Toc501621241"/>
      <w:r>
        <w:t xml:space="preserve">4.10.5   </w:t>
      </w:r>
      <w:r w:rsidRPr="00272F81">
        <w:t>Other marketing requirements</w:t>
      </w:r>
      <w:bookmarkEnd w:id="3128"/>
      <w:bookmarkEnd w:id="3129"/>
    </w:p>
    <w:p w14:paraId="44396BB2" w14:textId="77777777" w:rsidR="00983AE6" w:rsidRPr="00272F81" w:rsidRDefault="00983AE6" w:rsidP="00983AE6">
      <w:r w:rsidRPr="00272F81">
        <w:t>The approved</w:t>
      </w:r>
      <w:r>
        <w:t xml:space="preserve"> course</w:t>
      </w:r>
      <w:r w:rsidRPr="00272F81">
        <w:t xml:space="preserve"> provider must ensure that any marketing of an approved course it is offering or provides prominently mentions</w:t>
      </w:r>
      <w:r>
        <w:t xml:space="preserve"> </w:t>
      </w:r>
      <w:r w:rsidRPr="004429C0">
        <w:rPr>
          <w:rStyle w:val="ReferenceChar"/>
        </w:rPr>
        <w:t>[Rules s 140]</w:t>
      </w:r>
      <w:r w:rsidRPr="00272F81">
        <w:t>:</w:t>
      </w:r>
    </w:p>
    <w:p w14:paraId="69E574DC" w14:textId="77777777" w:rsidR="00983AE6" w:rsidRPr="00272F81" w:rsidRDefault="00983AE6" w:rsidP="00A0727A">
      <w:pPr>
        <w:pStyle w:val="ListBullet"/>
        <w:numPr>
          <w:ilvl w:val="0"/>
          <w:numId w:val="74"/>
        </w:numPr>
      </w:pPr>
      <w:r w:rsidRPr="00272F81">
        <w:t xml:space="preserve">the provider’s name, registered business name (if any), </w:t>
      </w:r>
      <w:r>
        <w:t xml:space="preserve">and </w:t>
      </w:r>
      <w:r w:rsidRPr="00272F81">
        <w:t>any other business name it uses; and</w:t>
      </w:r>
    </w:p>
    <w:p w14:paraId="22C11D07" w14:textId="77777777" w:rsidR="00983AE6" w:rsidRPr="00272F81" w:rsidRDefault="00983AE6" w:rsidP="00A0727A">
      <w:pPr>
        <w:pStyle w:val="ListBullet"/>
        <w:numPr>
          <w:ilvl w:val="0"/>
          <w:numId w:val="74"/>
        </w:numPr>
      </w:pPr>
      <w:r w:rsidRPr="00272F81">
        <w:t>the code included for the provider as</w:t>
      </w:r>
      <w:r>
        <w:t xml:space="preserve"> a</w:t>
      </w:r>
      <w:r w:rsidRPr="00272F81">
        <w:t xml:space="preserve"> registered training organisation on the National Register; and</w:t>
      </w:r>
    </w:p>
    <w:p w14:paraId="658347BE" w14:textId="77777777" w:rsidR="00983AE6" w:rsidRDefault="00983AE6" w:rsidP="00A0727A">
      <w:pPr>
        <w:pStyle w:val="ListBullet"/>
        <w:numPr>
          <w:ilvl w:val="0"/>
          <w:numId w:val="74"/>
        </w:numPr>
      </w:pPr>
      <w:r w:rsidRPr="00272F81">
        <w:t>the maximum tuition fee</w:t>
      </w:r>
      <w:r>
        <w:t>s for the course</w:t>
      </w:r>
      <w:r w:rsidRPr="00E15FC0">
        <w:rPr>
          <w:color w:val="3333FF"/>
          <w:sz w:val="16"/>
          <w:szCs w:val="16"/>
        </w:rPr>
        <w:t>.</w:t>
      </w:r>
    </w:p>
    <w:p w14:paraId="786438AF" w14:textId="77777777" w:rsidR="00983AE6" w:rsidRPr="00736F23" w:rsidRDefault="00983AE6" w:rsidP="00983AE6">
      <w:pPr>
        <w:pStyle w:val="Heading3"/>
      </w:pPr>
      <w:bookmarkStart w:id="3130" w:name="_Toc471374464"/>
      <w:bookmarkStart w:id="3131" w:name="_Toc483222933"/>
      <w:bookmarkStart w:id="3132" w:name="_Toc501621242"/>
      <w:r>
        <w:t xml:space="preserve">4.10.6   </w:t>
      </w:r>
      <w:r w:rsidRPr="00736F23">
        <w:t>Information about fees</w:t>
      </w:r>
      <w:bookmarkEnd w:id="3130"/>
      <w:bookmarkEnd w:id="3131"/>
      <w:bookmarkEnd w:id="3132"/>
    </w:p>
    <w:p w14:paraId="37DF8AA9" w14:textId="71DCF54B" w:rsidR="00983AE6" w:rsidRDefault="00983AE6" w:rsidP="00983AE6">
      <w:r w:rsidRPr="003F5097">
        <w:t>An approved course must not be marketed unless the tuition fees for the course (including tuition fees for units/parts of courses) have been published on the provider’s website in way that is readily accessible by the public</w:t>
      </w:r>
      <w:r>
        <w:t>.</w:t>
      </w:r>
      <w:r w:rsidRPr="003F5097">
        <w:t xml:space="preserve"> </w:t>
      </w:r>
      <w:r>
        <w:t xml:space="preserve">In addition, maximum course fees must be published </w:t>
      </w:r>
      <w:r w:rsidRPr="003F5097">
        <w:t xml:space="preserve">on the </w:t>
      </w:r>
      <w:r w:rsidRPr="00D866F5">
        <w:rPr>
          <w:i/>
        </w:rPr>
        <w:t>MySkills</w:t>
      </w:r>
      <w:r w:rsidRPr="003F5097">
        <w:t xml:space="preserve"> website at </w:t>
      </w:r>
      <w:hyperlink r:id="rId105" w:history="1">
        <w:r w:rsidRPr="004429C0">
          <w:rPr>
            <w:rStyle w:val="Hyperlink"/>
          </w:rPr>
          <w:t>www.myskills.gov.au</w:t>
        </w:r>
      </w:hyperlink>
      <w:r>
        <w:t xml:space="preserve">) </w:t>
      </w:r>
      <w:r w:rsidRPr="004429C0">
        <w:rPr>
          <w:rStyle w:val="ReferenceChar"/>
        </w:rPr>
        <w:t>[Rules s 141]</w:t>
      </w:r>
      <w:r w:rsidRPr="004429C0">
        <w:t>.</w:t>
      </w:r>
      <w:r>
        <w:t xml:space="preserve"> See </w:t>
      </w:r>
      <w:hyperlink w:anchor="_Giving_the_Secretary_2" w:history="1">
        <w:r w:rsidRPr="004429C0">
          <w:t>‘</w:t>
        </w:r>
        <w:r w:rsidRPr="004429C0">
          <w:rPr>
            <w:rStyle w:val="Hyperlink"/>
          </w:rPr>
          <w:t>Giving the Secretary a list of fees</w:t>
        </w:r>
        <w:r w:rsidRPr="004429C0">
          <w:t>’</w:t>
        </w:r>
      </w:hyperlink>
      <w:r w:rsidRPr="004429C0">
        <w:t>)</w:t>
      </w:r>
      <w:r w:rsidRPr="00736F23">
        <w:t xml:space="preserve"> </w:t>
      </w:r>
    </w:p>
    <w:p w14:paraId="00317730" w14:textId="334B3FE8" w:rsidR="00983AE6" w:rsidRPr="00736F23" w:rsidRDefault="00983AE6" w:rsidP="00983AE6">
      <w:pPr>
        <w:pStyle w:val="Heading3"/>
      </w:pPr>
      <w:bookmarkStart w:id="3133" w:name="_Toc481649920"/>
      <w:bookmarkStart w:id="3134" w:name="_Toc481650396"/>
      <w:bookmarkStart w:id="3135" w:name="_Toc477960404"/>
      <w:bookmarkStart w:id="3136" w:name="_Toc477960844"/>
      <w:bookmarkStart w:id="3137" w:name="_Toc477961283"/>
      <w:bookmarkStart w:id="3138" w:name="_Toc477961766"/>
      <w:bookmarkStart w:id="3139" w:name="_Toc477962253"/>
      <w:bookmarkStart w:id="3140" w:name="_Toc477962740"/>
      <w:bookmarkStart w:id="3141" w:name="_Toc477963226"/>
      <w:bookmarkStart w:id="3142" w:name="_Toc477963722"/>
      <w:bookmarkStart w:id="3143" w:name="_Toc478042924"/>
      <w:bookmarkStart w:id="3144" w:name="_Toc478367175"/>
      <w:bookmarkStart w:id="3145" w:name="_Toc479083787"/>
      <w:bookmarkStart w:id="3146" w:name="_Toc471374465"/>
      <w:bookmarkStart w:id="3147" w:name="_Toc483222934"/>
      <w:bookmarkStart w:id="3148" w:name="_Toc501621243"/>
      <w:bookmarkEnd w:id="3133"/>
      <w:bookmarkEnd w:id="3134"/>
      <w:bookmarkEnd w:id="3135"/>
      <w:bookmarkEnd w:id="3136"/>
      <w:bookmarkEnd w:id="3137"/>
      <w:bookmarkEnd w:id="3138"/>
      <w:bookmarkEnd w:id="3139"/>
      <w:bookmarkEnd w:id="3140"/>
      <w:bookmarkEnd w:id="3141"/>
      <w:bookmarkEnd w:id="3142"/>
      <w:bookmarkEnd w:id="3143"/>
      <w:bookmarkEnd w:id="3144"/>
      <w:bookmarkEnd w:id="3145"/>
      <w:r>
        <w:t xml:space="preserve">4.10.7   </w:t>
      </w:r>
      <w:r w:rsidRPr="00736F23">
        <w:t xml:space="preserve">Marketing that mentions </w:t>
      </w:r>
      <w:r w:rsidR="00454ED5">
        <w:t>VET Student Loans</w:t>
      </w:r>
      <w:bookmarkEnd w:id="3146"/>
      <w:bookmarkEnd w:id="3147"/>
      <w:bookmarkEnd w:id="3148"/>
    </w:p>
    <w:p w14:paraId="04B619FF" w14:textId="77777777" w:rsidR="00983AE6" w:rsidRPr="00736F23" w:rsidRDefault="00983AE6" w:rsidP="00983AE6">
      <w:r w:rsidRPr="00736F23">
        <w:t>An approved course provider must ensure that any marketing in which the provider mentions the possible availability of a VET student loan (</w:t>
      </w:r>
      <w:r>
        <w:t xml:space="preserve">however described) </w:t>
      </w:r>
      <w:r w:rsidRPr="00736F23">
        <w:t>for students undertaking a course</w:t>
      </w:r>
      <w:r>
        <w:t xml:space="preserve"> </w:t>
      </w:r>
      <w:r w:rsidRPr="004429C0">
        <w:rPr>
          <w:rStyle w:val="ReferenceChar"/>
        </w:rPr>
        <w:t>[Rules s 142]</w:t>
      </w:r>
      <w:r w:rsidRPr="00736F23">
        <w:t>:</w:t>
      </w:r>
    </w:p>
    <w:p w14:paraId="59100FE6" w14:textId="77777777" w:rsidR="00983AE6" w:rsidRPr="00736F23" w:rsidRDefault="00983AE6" w:rsidP="00A0727A">
      <w:pPr>
        <w:pStyle w:val="ListBullet"/>
        <w:numPr>
          <w:ilvl w:val="0"/>
          <w:numId w:val="74"/>
        </w:numPr>
      </w:pPr>
      <w:r w:rsidRPr="00736F23">
        <w:t>prominently mentions:</w:t>
      </w:r>
    </w:p>
    <w:p w14:paraId="583EBE9C" w14:textId="77777777" w:rsidR="00983AE6" w:rsidRPr="00736F23" w:rsidRDefault="00983AE6" w:rsidP="00A0727A">
      <w:pPr>
        <w:pStyle w:val="ListBullet2"/>
        <w:numPr>
          <w:ilvl w:val="1"/>
          <w:numId w:val="49"/>
        </w:numPr>
      </w:pPr>
      <w:r w:rsidRPr="00736F23">
        <w:t>the provider’s name and any registered business name or other business name that the provider uses</w:t>
      </w:r>
    </w:p>
    <w:p w14:paraId="7A234860" w14:textId="77777777" w:rsidR="00983AE6" w:rsidRPr="00736F23" w:rsidRDefault="00983AE6" w:rsidP="00A0727A">
      <w:pPr>
        <w:pStyle w:val="ListBullet2"/>
        <w:numPr>
          <w:ilvl w:val="1"/>
          <w:numId w:val="49"/>
        </w:numPr>
      </w:pPr>
      <w:r w:rsidRPr="00736F23">
        <w:t xml:space="preserve">the provider’s </w:t>
      </w:r>
      <w:r>
        <w:t xml:space="preserve">RTO </w:t>
      </w:r>
      <w:r w:rsidRPr="00736F23">
        <w:t xml:space="preserve">registration code </w:t>
      </w:r>
    </w:p>
    <w:p w14:paraId="369C85AF" w14:textId="77777777" w:rsidR="00983AE6" w:rsidRPr="00736F23" w:rsidRDefault="00983AE6" w:rsidP="00A0727A">
      <w:pPr>
        <w:pStyle w:val="ListBullet2"/>
        <w:numPr>
          <w:ilvl w:val="1"/>
          <w:numId w:val="49"/>
        </w:numPr>
      </w:pPr>
      <w:r w:rsidRPr="00736F23">
        <w:t xml:space="preserve">that </w:t>
      </w:r>
      <w:r w:rsidR="00454ED5">
        <w:t>VET Student Loans</w:t>
      </w:r>
      <w:r w:rsidRPr="00736F23">
        <w:t xml:space="preserve"> will not be approved for students who do not meet eligibility requirements and </w:t>
      </w:r>
    </w:p>
    <w:p w14:paraId="2DC15953" w14:textId="77777777" w:rsidR="00983AE6" w:rsidRPr="00736F23" w:rsidRDefault="00983AE6" w:rsidP="00A0727A">
      <w:pPr>
        <w:pStyle w:val="ListBullet2"/>
        <w:numPr>
          <w:ilvl w:val="1"/>
          <w:numId w:val="49"/>
        </w:numPr>
      </w:pPr>
      <w:r w:rsidRPr="00736F23">
        <w:t>that a VET student loan gives rise to a HELP debt that continues to be a debt due to the Commonwealth until it is repaid</w:t>
      </w:r>
    </w:p>
    <w:p w14:paraId="6D8C9B51" w14:textId="77777777" w:rsidR="00983AE6" w:rsidRPr="00736F23" w:rsidRDefault="00983AE6" w:rsidP="00A0727A">
      <w:pPr>
        <w:pStyle w:val="ListBullet"/>
        <w:numPr>
          <w:ilvl w:val="0"/>
          <w:numId w:val="74"/>
        </w:numPr>
      </w:pPr>
      <w:r w:rsidRPr="00736F23">
        <w:t>presents the information above in a font size that is approximately the same as any other marketing information that accompanies it and</w:t>
      </w:r>
    </w:p>
    <w:p w14:paraId="27E44C7F" w14:textId="0EA96D64" w:rsidR="00107663" w:rsidRDefault="00983AE6" w:rsidP="00A0727A">
      <w:pPr>
        <w:pStyle w:val="ListBullet"/>
        <w:numPr>
          <w:ilvl w:val="0"/>
          <w:numId w:val="74"/>
        </w:numPr>
      </w:pPr>
      <w:r w:rsidRPr="00736F23">
        <w:t xml:space="preserve">if the marketing is online, presents the information covered </w:t>
      </w:r>
      <w:r>
        <w:t>above</w:t>
      </w:r>
      <w:r w:rsidRPr="00736F23">
        <w:t xml:space="preserve"> on the same webpage as the other marketing of the course and</w:t>
      </w:r>
    </w:p>
    <w:p w14:paraId="43AB2FF1" w14:textId="14D65C4A" w:rsidR="00F25620" w:rsidRDefault="00983AE6" w:rsidP="00A0727A">
      <w:pPr>
        <w:pStyle w:val="ListBullet"/>
        <w:numPr>
          <w:ilvl w:val="0"/>
          <w:numId w:val="74"/>
        </w:numPr>
      </w:pPr>
      <w:r w:rsidRPr="00A41C46">
        <w:t xml:space="preserve">if the marketing uses the </w:t>
      </w:r>
      <w:r w:rsidR="00454ED5" w:rsidRPr="00A41C46">
        <w:t>VET Student Loans</w:t>
      </w:r>
      <w:r w:rsidRPr="00A41C46">
        <w:t xml:space="preserve"> logo, presents the logo in accordance with the style guide for the use of the logo published on the department’s website (see </w:t>
      </w:r>
      <w:hyperlink w:anchor="_4.10.9__" w:history="1">
        <w:r w:rsidRPr="00A5748D">
          <w:rPr>
            <w:b/>
            <w:color w:val="002060"/>
          </w:rPr>
          <w:t>Section 4.10.9</w:t>
        </w:r>
      </w:hyperlink>
      <w:r w:rsidR="00107663">
        <w:t xml:space="preserve"> below</w:t>
      </w:r>
      <w:r w:rsidRPr="00A41C46">
        <w:t>).</w:t>
      </w:r>
      <w:bookmarkStart w:id="3149" w:name="_Toc471374466"/>
      <w:bookmarkStart w:id="3150" w:name="_Toc483222935"/>
    </w:p>
    <w:p w14:paraId="195AFF01" w14:textId="77777777" w:rsidR="00983AE6" w:rsidRPr="00736F23" w:rsidRDefault="00983AE6" w:rsidP="00983AE6">
      <w:pPr>
        <w:pStyle w:val="Heading3"/>
      </w:pPr>
      <w:bookmarkStart w:id="3151" w:name="_4.10.8__"/>
      <w:bookmarkStart w:id="3152" w:name="_Toc501621244"/>
      <w:bookmarkEnd w:id="3151"/>
      <w:r>
        <w:lastRenderedPageBreak/>
        <w:t xml:space="preserve">4.10.8   </w:t>
      </w:r>
      <w:r w:rsidRPr="00736F23">
        <w:t>Social Media</w:t>
      </w:r>
      <w:bookmarkEnd w:id="3149"/>
      <w:bookmarkEnd w:id="3150"/>
      <w:bookmarkEnd w:id="3152"/>
    </w:p>
    <w:p w14:paraId="114373FB" w14:textId="16E4563F" w:rsidR="00CE4F02" w:rsidRDefault="00983AE6" w:rsidP="00E164CB">
      <w:r w:rsidRPr="00736F23">
        <w:t>An approved course provider must ensure that any marketing of the provider or its courses through social media does not mention the possible availability of a VET student loan for students undertaking a course</w:t>
      </w:r>
      <w:r w:rsidR="005A342D">
        <w:t xml:space="preserve"> </w:t>
      </w:r>
      <w:r w:rsidR="005A342D" w:rsidRPr="0003126A">
        <w:rPr>
          <w:rStyle w:val="ReferenceChar"/>
        </w:rPr>
        <w:t>[Rules s 143]</w:t>
      </w:r>
      <w:r w:rsidR="00E164CB">
        <w:t xml:space="preserve">. </w:t>
      </w:r>
    </w:p>
    <w:p w14:paraId="402EF0BC" w14:textId="26BB5ABC" w:rsidR="00E164CB" w:rsidRPr="008205CD" w:rsidRDefault="00E164CB" w:rsidP="00E164CB">
      <w:r>
        <w:t xml:space="preserve">Social media includes, for example, </w:t>
      </w:r>
      <w:r w:rsidR="00C914B5">
        <w:t>F</w:t>
      </w:r>
      <w:r>
        <w:t xml:space="preserve">acebook, </w:t>
      </w:r>
      <w:r w:rsidR="00C914B5">
        <w:t>I</w:t>
      </w:r>
      <w:r>
        <w:t xml:space="preserve">nstagram and </w:t>
      </w:r>
      <w:r w:rsidR="00C914B5">
        <w:t>T</w:t>
      </w:r>
      <w:r>
        <w:t xml:space="preserve">witter. </w:t>
      </w:r>
      <w:r w:rsidRPr="00E40940">
        <w:t xml:space="preserve">This list is not intended to be exhaustive. </w:t>
      </w:r>
      <w:r w:rsidRPr="008205CD">
        <w:t xml:space="preserve">The Explanatory Statement to the VET Student Loans Rules 2016 provides as follows:  </w:t>
      </w:r>
    </w:p>
    <w:p w14:paraId="63D62640" w14:textId="3F6DF794" w:rsidR="00E164CB" w:rsidRPr="008205CD" w:rsidRDefault="00E164CB" w:rsidP="00E164CB">
      <w:pPr>
        <w:ind w:left="720"/>
        <w:rPr>
          <w:i/>
          <w:iCs/>
        </w:rPr>
      </w:pPr>
      <w:r w:rsidRPr="008205CD">
        <w:rPr>
          <w:i/>
          <w:iCs/>
        </w:rPr>
        <w:t xml:space="preserve">Section 143 prohibits an approved course provider from marketing the provider or its approved courses through social media in a way that mentions the possible availability of a VET student loan (however described). The section is intended to enhance the protection of students by prohibiting aggressive marketing practices. Social media includes, for example, </w:t>
      </w:r>
      <w:r w:rsidR="00B13D45">
        <w:rPr>
          <w:i/>
          <w:iCs/>
        </w:rPr>
        <w:t>F</w:t>
      </w:r>
      <w:r w:rsidR="00B13D45" w:rsidRPr="008205CD">
        <w:rPr>
          <w:i/>
          <w:iCs/>
        </w:rPr>
        <w:t>acebook</w:t>
      </w:r>
      <w:r w:rsidRPr="008205CD">
        <w:rPr>
          <w:i/>
          <w:iCs/>
        </w:rPr>
        <w:t xml:space="preserve">, </w:t>
      </w:r>
      <w:r w:rsidR="00B13D45">
        <w:rPr>
          <w:i/>
          <w:iCs/>
        </w:rPr>
        <w:t>I</w:t>
      </w:r>
      <w:r w:rsidR="00B13D45" w:rsidRPr="008205CD">
        <w:rPr>
          <w:i/>
          <w:iCs/>
        </w:rPr>
        <w:t>nstagram</w:t>
      </w:r>
      <w:r w:rsidRPr="008205CD">
        <w:rPr>
          <w:i/>
          <w:iCs/>
        </w:rPr>
        <w:t xml:space="preserve"> and </w:t>
      </w:r>
      <w:r w:rsidR="00B13D45">
        <w:rPr>
          <w:i/>
          <w:iCs/>
        </w:rPr>
        <w:t>T</w:t>
      </w:r>
      <w:r w:rsidRPr="008205CD">
        <w:rPr>
          <w:i/>
          <w:iCs/>
        </w:rPr>
        <w:t>witter.</w:t>
      </w:r>
    </w:p>
    <w:p w14:paraId="298649CE" w14:textId="51B33019" w:rsidR="00E164CB" w:rsidRPr="008205CD" w:rsidRDefault="00E164CB" w:rsidP="00E164CB">
      <w:r w:rsidRPr="008205CD">
        <w:t xml:space="preserve">YouTube </w:t>
      </w:r>
      <w:r w:rsidR="00ED68A4">
        <w:t>is</w:t>
      </w:r>
      <w:r w:rsidRPr="008205CD">
        <w:t xml:space="preserve"> considered to be a social media platform and should not mention the possible availability of a VET Student Loan.</w:t>
      </w:r>
    </w:p>
    <w:p w14:paraId="54885F3E" w14:textId="77777777" w:rsidR="00983AE6" w:rsidRPr="00557B99" w:rsidRDefault="00983AE6" w:rsidP="00983AE6">
      <w:pPr>
        <w:pStyle w:val="Heading3"/>
      </w:pPr>
      <w:bookmarkStart w:id="3153" w:name="_Toc477960408"/>
      <w:bookmarkStart w:id="3154" w:name="_Toc477960848"/>
      <w:bookmarkStart w:id="3155" w:name="_Toc477961287"/>
      <w:bookmarkStart w:id="3156" w:name="_Toc477961770"/>
      <w:bookmarkStart w:id="3157" w:name="_Toc477962257"/>
      <w:bookmarkStart w:id="3158" w:name="_Toc477962744"/>
      <w:bookmarkStart w:id="3159" w:name="_Toc477963230"/>
      <w:bookmarkStart w:id="3160" w:name="_Toc477963726"/>
      <w:bookmarkStart w:id="3161" w:name="_Toc478042928"/>
      <w:bookmarkStart w:id="3162" w:name="_Toc478367179"/>
      <w:bookmarkStart w:id="3163" w:name="_Toc479083791"/>
      <w:bookmarkStart w:id="3164" w:name="_Branding"/>
      <w:bookmarkStart w:id="3165" w:name="_4.10.9__"/>
      <w:bookmarkStart w:id="3166" w:name="_Toc483222936"/>
      <w:bookmarkStart w:id="3167" w:name="_Toc501621245"/>
      <w:bookmarkEnd w:id="3153"/>
      <w:bookmarkEnd w:id="3154"/>
      <w:bookmarkEnd w:id="3155"/>
      <w:bookmarkEnd w:id="3156"/>
      <w:bookmarkEnd w:id="3157"/>
      <w:bookmarkEnd w:id="3158"/>
      <w:bookmarkEnd w:id="3159"/>
      <w:bookmarkEnd w:id="3160"/>
      <w:bookmarkEnd w:id="3161"/>
      <w:bookmarkEnd w:id="3162"/>
      <w:bookmarkEnd w:id="3163"/>
      <w:bookmarkEnd w:id="3164"/>
      <w:bookmarkEnd w:id="3165"/>
      <w:r>
        <w:t xml:space="preserve">4.10.9   </w:t>
      </w:r>
      <w:r w:rsidRPr="00557B99">
        <w:t>Branding</w:t>
      </w:r>
      <w:bookmarkEnd w:id="3166"/>
      <w:bookmarkEnd w:id="3167"/>
    </w:p>
    <w:p w14:paraId="0EBAA112" w14:textId="77777777" w:rsidR="00983AE6" w:rsidRPr="00672323" w:rsidRDefault="00983AE6" w:rsidP="00983AE6">
      <w:r w:rsidRPr="00672323">
        <w:t>An approved course provider must ensure the approved VET Student Loans logo is used in its complete and original form as provided by the Department. It cannot be rearranged or split into individual elements.</w:t>
      </w:r>
    </w:p>
    <w:p w14:paraId="28C1F752" w14:textId="77777777" w:rsidR="00983AE6" w:rsidRPr="00672323" w:rsidRDefault="00983AE6" w:rsidP="00983AE6">
      <w:r w:rsidRPr="00672323">
        <w:t>An approved course provider may use or co-brand the VET Student Loans logo with their own organisation</w:t>
      </w:r>
      <w:r>
        <w:t>’</w:t>
      </w:r>
      <w:r w:rsidRPr="00672323">
        <w:t>s logo and visual identity. The approved placement for the VET Student Loans logo is to the right of an approved course provider’s own logo.</w:t>
      </w:r>
    </w:p>
    <w:p w14:paraId="3439DF14" w14:textId="77777777" w:rsidR="00983AE6" w:rsidRDefault="00983AE6" w:rsidP="00983AE6">
      <w:r w:rsidRPr="00672323">
        <w:t>The VET Student Loans Logo may be published on an approved course VET Student Loans provider’s website on the page</w:t>
      </w:r>
      <w:r>
        <w:t xml:space="preserve"> </w:t>
      </w:r>
      <w:r w:rsidRPr="00672323">
        <w:t xml:space="preserve">outlining information about VET Student Loans. It may </w:t>
      </w:r>
      <w:r w:rsidRPr="002478CE">
        <w:rPr>
          <w:u w:val="single"/>
        </w:rPr>
        <w:t>not</w:t>
      </w:r>
      <w:r w:rsidRPr="00672323">
        <w:t xml:space="preserve"> be used on any other materials or printed publications such as office station</w:t>
      </w:r>
      <w:r>
        <w:t>e</w:t>
      </w:r>
      <w:r w:rsidRPr="00672323">
        <w:t>ry, business cards, letterheads, signs and pamphlets.</w:t>
      </w:r>
      <w:r>
        <w:t xml:space="preserve"> </w:t>
      </w:r>
      <w:r w:rsidRPr="006E60D7">
        <w:t xml:space="preserve">The VET Student Loans Logo may </w:t>
      </w:r>
      <w:r w:rsidRPr="0028499D">
        <w:rPr>
          <w:u w:val="single"/>
        </w:rPr>
        <w:t>not</w:t>
      </w:r>
      <w:r w:rsidRPr="006E60D7">
        <w:t xml:space="preserve"> be used by third parties</w:t>
      </w:r>
      <w:r>
        <w:t>.</w:t>
      </w:r>
    </w:p>
    <w:p w14:paraId="41C0AE49" w14:textId="7A9CE4F4" w:rsidR="000C6A77" w:rsidRPr="00B11894" w:rsidRDefault="000C6A77" w:rsidP="00E164CB">
      <w:pPr>
        <w:rPr>
          <w:rFonts w:cstheme="minorHAnsi"/>
          <w:b/>
        </w:rPr>
      </w:pPr>
      <w:r w:rsidRPr="00B11894">
        <w:rPr>
          <w:rFonts w:eastAsiaTheme="minorHAnsi" w:cstheme="minorHAnsi"/>
          <w:color w:val="000000"/>
        </w:rPr>
        <w:t xml:space="preserve">The </w:t>
      </w:r>
      <w:r w:rsidRPr="00B11894">
        <w:rPr>
          <w:rFonts w:eastAsiaTheme="minorHAnsi" w:cstheme="minorHAnsi"/>
          <w:i/>
          <w:iCs/>
          <w:color w:val="000000"/>
        </w:rPr>
        <w:t xml:space="preserve">VET Student Loans Style Guide </w:t>
      </w:r>
      <w:r w:rsidRPr="00B11894">
        <w:rPr>
          <w:rFonts w:eastAsiaTheme="minorHAnsi" w:cstheme="minorHAnsi"/>
          <w:color w:val="000000"/>
        </w:rPr>
        <w:t xml:space="preserve">is available from </w:t>
      </w:r>
      <w:r w:rsidRPr="00B11894">
        <w:rPr>
          <w:rFonts w:eastAsiaTheme="minorHAnsi" w:cstheme="minorHAnsi"/>
          <w:b/>
          <w:bCs/>
          <w:color w:val="24206C"/>
        </w:rPr>
        <w:t>www.education.gov.au/vet-student-loans.</w:t>
      </w:r>
    </w:p>
    <w:p w14:paraId="2B2FD763" w14:textId="345098AB" w:rsidR="00E164CB" w:rsidRDefault="00E164CB" w:rsidP="00E164CB">
      <w:pPr>
        <w:rPr>
          <w:color w:val="1F497D"/>
        </w:rPr>
      </w:pPr>
      <w:r w:rsidRPr="008205CD">
        <w:rPr>
          <w:b/>
        </w:rPr>
        <w:t>IMPORTANT NOTE:</w:t>
      </w:r>
      <w:r w:rsidRPr="008205CD">
        <w:t xml:space="preserve"> Providers are only to use the VET Student Loans logo on their own website on the page </w:t>
      </w:r>
      <w:r w:rsidR="00CE4F02">
        <w:t>that</w:t>
      </w:r>
      <w:r w:rsidRPr="008205CD">
        <w:t xml:space="preserve"> provides information about VET Student Loans, not on the approved provider’s homepage, or in multiple locations throughout the website. The provider must also provide a link back to the Department of Education and Training’s VSL web page </w:t>
      </w:r>
      <w:r>
        <w:rPr>
          <w:color w:val="1F497D"/>
        </w:rPr>
        <w:t>(</w:t>
      </w:r>
      <w:hyperlink r:id="rId106" w:history="1">
        <w:r>
          <w:rPr>
            <w:rStyle w:val="Hyperlink"/>
          </w:rPr>
          <w:t>www.education.gov.au/vet-student-loans-students</w:t>
        </w:r>
      </w:hyperlink>
      <w:r>
        <w:rPr>
          <w:color w:val="1F497D"/>
        </w:rPr>
        <w:t xml:space="preserve">). </w:t>
      </w:r>
      <w:r w:rsidRPr="008205CD">
        <w:t xml:space="preserve">The logo is not to be used on any other materials or printed publications such as office stationery, business cards, letterheads, signs and pamphlets. This information is in accordance with the department’s published style guide at </w:t>
      </w:r>
      <w:hyperlink r:id="rId107" w:history="1">
        <w:r>
          <w:rPr>
            <w:rStyle w:val="Hyperlink"/>
          </w:rPr>
          <w:t>www.education.gov.au/information-vet-student-loans-approved-providers</w:t>
        </w:r>
      </w:hyperlink>
      <w:r w:rsidRPr="008205CD">
        <w:t xml:space="preserve">. </w:t>
      </w:r>
    </w:p>
    <w:p w14:paraId="6566B1A0" w14:textId="77777777" w:rsidR="00983AE6" w:rsidRPr="00736F23" w:rsidRDefault="00983AE6" w:rsidP="00983AE6">
      <w:pPr>
        <w:pStyle w:val="Heading3"/>
      </w:pPr>
      <w:bookmarkStart w:id="3168" w:name="_Toc471285748"/>
      <w:bookmarkStart w:id="3169" w:name="_Toc471300333"/>
      <w:bookmarkStart w:id="3170" w:name="_Toc471305832"/>
      <w:bookmarkStart w:id="3171" w:name="_Toc471306432"/>
      <w:bookmarkStart w:id="3172" w:name="_Toc471306948"/>
      <w:bookmarkStart w:id="3173" w:name="_Toc471307721"/>
      <w:bookmarkStart w:id="3174" w:name="_Toc471374467"/>
      <w:bookmarkStart w:id="3175" w:name="_Toc471374468"/>
      <w:bookmarkStart w:id="3176" w:name="_Toc483222937"/>
      <w:bookmarkStart w:id="3177" w:name="_Toc501621246"/>
      <w:bookmarkEnd w:id="3168"/>
      <w:bookmarkEnd w:id="3169"/>
      <w:bookmarkEnd w:id="3170"/>
      <w:bookmarkEnd w:id="3171"/>
      <w:bookmarkEnd w:id="3172"/>
      <w:bookmarkEnd w:id="3173"/>
      <w:bookmarkEnd w:id="3174"/>
      <w:r>
        <w:t xml:space="preserve">4.10.10   </w:t>
      </w:r>
      <w:r w:rsidRPr="00736F23">
        <w:t>Use of Brokers or Agents</w:t>
      </w:r>
      <w:bookmarkEnd w:id="3175"/>
      <w:bookmarkEnd w:id="3176"/>
      <w:bookmarkEnd w:id="3177"/>
    </w:p>
    <w:p w14:paraId="2FB93DF6" w14:textId="77777777" w:rsidR="00983AE6" w:rsidRPr="00736F23" w:rsidRDefault="00983AE6" w:rsidP="00983AE6">
      <w:r w:rsidRPr="00736F23">
        <w:t xml:space="preserve">As part of ensuring only quality providers are responsible for providing </w:t>
      </w:r>
      <w:r>
        <w:t xml:space="preserve">approved </w:t>
      </w:r>
      <w:r w:rsidRPr="00736F23">
        <w:t xml:space="preserve">courses </w:t>
      </w:r>
      <w:r>
        <w:t xml:space="preserve">and enrolling students, there are strict limits on </w:t>
      </w:r>
      <w:r w:rsidRPr="00736F23">
        <w:t>an approved</w:t>
      </w:r>
      <w:r>
        <w:t xml:space="preserve"> course</w:t>
      </w:r>
      <w:r w:rsidRPr="00736F23">
        <w:t xml:space="preserve"> provider</w:t>
      </w:r>
      <w:r>
        <w:t xml:space="preserve">’s </w:t>
      </w:r>
      <w:r w:rsidRPr="00736F23">
        <w:t>use</w:t>
      </w:r>
      <w:r>
        <w:t xml:space="preserve"> of</w:t>
      </w:r>
      <w:r w:rsidRPr="00736F23">
        <w:t xml:space="preserve"> brokers or agents.</w:t>
      </w:r>
    </w:p>
    <w:p w14:paraId="708AE35A" w14:textId="77777777" w:rsidR="00983AE6" w:rsidRPr="00736F23" w:rsidRDefault="00983AE6" w:rsidP="00983AE6">
      <w:r w:rsidRPr="00736F23">
        <w:t xml:space="preserve">An approved </w:t>
      </w:r>
      <w:r>
        <w:t xml:space="preserve">course </w:t>
      </w:r>
      <w:r w:rsidRPr="00736F23">
        <w:t>provider must not enter into an arrangement with another person for that person to do any of the following</w:t>
      </w:r>
      <w:r>
        <w:t xml:space="preserve"> in relation to an approved course</w:t>
      </w:r>
      <w:r w:rsidRPr="00736F23">
        <w:rPr>
          <w:sz w:val="20"/>
        </w:rPr>
        <w:t xml:space="preserve"> </w:t>
      </w:r>
      <w:r w:rsidRPr="0003126A">
        <w:rPr>
          <w:rStyle w:val="ReferenceChar"/>
        </w:rPr>
        <w:t>[Act s 49]</w:t>
      </w:r>
      <w:r w:rsidRPr="0003126A">
        <w:t>:</w:t>
      </w:r>
    </w:p>
    <w:p w14:paraId="1B40DD7F" w14:textId="77777777" w:rsidR="00983AE6" w:rsidRPr="00736F23" w:rsidRDefault="00983AE6" w:rsidP="00A0727A">
      <w:pPr>
        <w:pStyle w:val="ListBullet"/>
        <w:numPr>
          <w:ilvl w:val="0"/>
          <w:numId w:val="74"/>
        </w:numPr>
      </w:pPr>
      <w:r w:rsidRPr="00736F23">
        <w:t>enrol students, or accept an application to enrol students, in the course</w:t>
      </w:r>
    </w:p>
    <w:p w14:paraId="227E16E6" w14:textId="77777777" w:rsidR="00983AE6" w:rsidRPr="00736F23" w:rsidRDefault="00983AE6" w:rsidP="00A0727A">
      <w:pPr>
        <w:pStyle w:val="ListBullet"/>
        <w:numPr>
          <w:ilvl w:val="0"/>
          <w:numId w:val="74"/>
        </w:numPr>
      </w:pPr>
      <w:r w:rsidRPr="00736F23">
        <w:t xml:space="preserve">provide information or advice in relation to </w:t>
      </w:r>
      <w:r w:rsidR="00454ED5">
        <w:t>VET Student Loans</w:t>
      </w:r>
      <w:r w:rsidRPr="00736F23">
        <w:t xml:space="preserve"> for the course</w:t>
      </w:r>
    </w:p>
    <w:p w14:paraId="5A412D26" w14:textId="77777777" w:rsidR="00983AE6" w:rsidRPr="00736F23" w:rsidRDefault="00983AE6" w:rsidP="00A0727A">
      <w:pPr>
        <w:pStyle w:val="ListBullet"/>
        <w:numPr>
          <w:ilvl w:val="0"/>
          <w:numId w:val="74"/>
        </w:numPr>
      </w:pPr>
      <w:r w:rsidRPr="00736F23">
        <w:t>assist students to complete or submit applications for a VET student loan for the course</w:t>
      </w:r>
    </w:p>
    <w:p w14:paraId="116E0278" w14:textId="77777777" w:rsidR="00983AE6" w:rsidRPr="00736F23" w:rsidRDefault="00983AE6" w:rsidP="00A0727A">
      <w:pPr>
        <w:pStyle w:val="ListBullet"/>
        <w:numPr>
          <w:ilvl w:val="0"/>
          <w:numId w:val="74"/>
        </w:numPr>
      </w:pPr>
      <w:r w:rsidRPr="00736F23">
        <w:lastRenderedPageBreak/>
        <w:t>assist, or provide support for, students who could be eligible for a VET student loan for the course to complete any assessments required to show that students are academically suited to undertake the course.</w:t>
      </w:r>
    </w:p>
    <w:p w14:paraId="44616C24" w14:textId="77777777" w:rsidR="00983AE6" w:rsidRDefault="00983AE6" w:rsidP="00983AE6">
      <w:r>
        <w:t>This prohibition against arrangements with brokers or agents applies whether the arrangement is in writing or not.</w:t>
      </w:r>
    </w:p>
    <w:p w14:paraId="687E83E8" w14:textId="77777777" w:rsidR="00983AE6" w:rsidRDefault="00983AE6" w:rsidP="00983AE6">
      <w:r>
        <w:t xml:space="preserve">This prohibition does not apply in relation to an arrangement that is a contract of employment </w:t>
      </w:r>
      <w:r w:rsidRPr="0003126A">
        <w:rPr>
          <w:rStyle w:val="ReferenceChar"/>
        </w:rPr>
        <w:t>[Act s 49]</w:t>
      </w:r>
      <w:r w:rsidRPr="00710A40">
        <w:rPr>
          <w:color w:val="0070C0"/>
        </w:rPr>
        <w:t xml:space="preserve"> </w:t>
      </w:r>
      <w:r>
        <w:t xml:space="preserve">or with a member of the Australasian Conference of Tertiary Admission Centres </w:t>
      </w:r>
      <w:r w:rsidRPr="0003126A">
        <w:rPr>
          <w:rStyle w:val="ReferenceChar"/>
        </w:rPr>
        <w:t>[Rules s 96]</w:t>
      </w:r>
      <w:r>
        <w:t>.</w:t>
      </w:r>
    </w:p>
    <w:p w14:paraId="58974B86" w14:textId="77777777" w:rsidR="00983AE6" w:rsidRDefault="00983AE6" w:rsidP="00983AE6">
      <w:pPr>
        <w:rPr>
          <w:sz w:val="20"/>
          <w:szCs w:val="20"/>
        </w:rPr>
      </w:pPr>
      <w:r>
        <w:t>This is a civil penalty provision, giving rise to a civil penalty of up to 60 penalty units</w:t>
      </w:r>
      <w:r w:rsidRPr="00331A8D">
        <w:rPr>
          <w:sz w:val="20"/>
          <w:szCs w:val="20"/>
        </w:rPr>
        <w:t>.</w:t>
      </w:r>
    </w:p>
    <w:p w14:paraId="495029D5" w14:textId="1019A4CF" w:rsidR="00983AE6" w:rsidRPr="00736F23" w:rsidRDefault="00572874" w:rsidP="00983AE6">
      <w:pPr>
        <w:pStyle w:val="Heading2"/>
      </w:pPr>
      <w:bookmarkStart w:id="3178" w:name="_Toc481649930"/>
      <w:bookmarkStart w:id="3179" w:name="_Toc481650406"/>
      <w:bookmarkStart w:id="3180" w:name="_Toc471285750"/>
      <w:bookmarkStart w:id="3181" w:name="_Toc471300335"/>
      <w:bookmarkStart w:id="3182" w:name="_Toc471305834"/>
      <w:bookmarkStart w:id="3183" w:name="_Toc471306434"/>
      <w:bookmarkStart w:id="3184" w:name="_Toc471306950"/>
      <w:bookmarkStart w:id="3185" w:name="_Toc471307723"/>
      <w:bookmarkStart w:id="3186" w:name="_Toc471368829"/>
      <w:bookmarkStart w:id="3187" w:name="_Toc471374179"/>
      <w:bookmarkStart w:id="3188" w:name="_Toc471374469"/>
      <w:bookmarkStart w:id="3189" w:name="_Toc471368830"/>
      <w:bookmarkStart w:id="3190" w:name="_Toc471374180"/>
      <w:bookmarkStart w:id="3191" w:name="_Toc471374470"/>
      <w:bookmarkStart w:id="3192" w:name="_Toc471368831"/>
      <w:bookmarkStart w:id="3193" w:name="_Toc471374181"/>
      <w:bookmarkStart w:id="3194" w:name="_Toc471374471"/>
      <w:bookmarkStart w:id="3195" w:name="_Toc471368832"/>
      <w:bookmarkStart w:id="3196" w:name="_Toc471374182"/>
      <w:bookmarkStart w:id="3197" w:name="_Toc471374472"/>
      <w:bookmarkStart w:id="3198" w:name="_Toc471368833"/>
      <w:bookmarkStart w:id="3199" w:name="_Toc471374183"/>
      <w:bookmarkStart w:id="3200" w:name="_Toc471374473"/>
      <w:bookmarkStart w:id="3201" w:name="_Toc471368834"/>
      <w:bookmarkStart w:id="3202" w:name="_Toc471374184"/>
      <w:bookmarkStart w:id="3203" w:name="_Toc471374474"/>
      <w:bookmarkStart w:id="3204" w:name="_Toc471368835"/>
      <w:bookmarkStart w:id="3205" w:name="_Toc471374185"/>
      <w:bookmarkStart w:id="3206" w:name="_Toc471374475"/>
      <w:bookmarkStart w:id="3207" w:name="_Toc471368836"/>
      <w:bookmarkStart w:id="3208" w:name="_Toc471374186"/>
      <w:bookmarkStart w:id="3209" w:name="_Toc471374476"/>
      <w:bookmarkStart w:id="3210" w:name="_Toc471368837"/>
      <w:bookmarkStart w:id="3211" w:name="_Toc471374187"/>
      <w:bookmarkStart w:id="3212" w:name="_Toc471374477"/>
      <w:bookmarkStart w:id="3213" w:name="_Toc471368838"/>
      <w:bookmarkStart w:id="3214" w:name="_Toc471374188"/>
      <w:bookmarkStart w:id="3215" w:name="_Toc471374478"/>
      <w:bookmarkStart w:id="3216" w:name="_Toc471368839"/>
      <w:bookmarkStart w:id="3217" w:name="_Toc471374189"/>
      <w:bookmarkStart w:id="3218" w:name="_Toc471374479"/>
      <w:bookmarkStart w:id="3219" w:name="_Toc471368840"/>
      <w:bookmarkStart w:id="3220" w:name="_Toc471374190"/>
      <w:bookmarkStart w:id="3221" w:name="_Toc471374480"/>
      <w:bookmarkStart w:id="3222" w:name="_Toc471368841"/>
      <w:bookmarkStart w:id="3223" w:name="_Toc471374191"/>
      <w:bookmarkStart w:id="3224" w:name="_Toc471374481"/>
      <w:bookmarkStart w:id="3225" w:name="_Toc471368842"/>
      <w:bookmarkStart w:id="3226" w:name="_Toc471374192"/>
      <w:bookmarkStart w:id="3227" w:name="_Toc471374482"/>
      <w:bookmarkStart w:id="3228" w:name="_Toc471368843"/>
      <w:bookmarkStart w:id="3229" w:name="_Toc471374193"/>
      <w:bookmarkStart w:id="3230" w:name="_Toc471374483"/>
      <w:bookmarkStart w:id="3231" w:name="_Toc471368844"/>
      <w:bookmarkStart w:id="3232" w:name="_Toc471374194"/>
      <w:bookmarkStart w:id="3233" w:name="_Toc471374484"/>
      <w:bookmarkStart w:id="3234" w:name="_Toc471368845"/>
      <w:bookmarkStart w:id="3235" w:name="_Toc471374195"/>
      <w:bookmarkStart w:id="3236" w:name="_Toc471374485"/>
      <w:bookmarkStart w:id="3237" w:name="_Toc471368846"/>
      <w:bookmarkStart w:id="3238" w:name="_Toc471374196"/>
      <w:bookmarkStart w:id="3239" w:name="_Toc471374486"/>
      <w:bookmarkStart w:id="3240" w:name="_Toc471368847"/>
      <w:bookmarkStart w:id="3241" w:name="_Toc471374197"/>
      <w:bookmarkStart w:id="3242" w:name="_Toc471374487"/>
      <w:bookmarkStart w:id="3243" w:name="_Toc471368848"/>
      <w:bookmarkStart w:id="3244" w:name="_Toc471374198"/>
      <w:bookmarkStart w:id="3245" w:name="_Toc471374488"/>
      <w:bookmarkStart w:id="3246" w:name="_Toc471368849"/>
      <w:bookmarkStart w:id="3247" w:name="_Toc471374199"/>
      <w:bookmarkStart w:id="3248" w:name="_Toc471374489"/>
      <w:bookmarkStart w:id="3249" w:name="_Toc471368850"/>
      <w:bookmarkStart w:id="3250" w:name="_Toc471374200"/>
      <w:bookmarkStart w:id="3251" w:name="_Toc471374490"/>
      <w:bookmarkStart w:id="3252" w:name="_Toc471368851"/>
      <w:bookmarkStart w:id="3253" w:name="_Toc471374201"/>
      <w:bookmarkStart w:id="3254" w:name="_Toc471374491"/>
      <w:bookmarkStart w:id="3255" w:name="_Toc471368852"/>
      <w:bookmarkStart w:id="3256" w:name="_Toc471374202"/>
      <w:bookmarkStart w:id="3257" w:name="_Toc471374492"/>
      <w:bookmarkStart w:id="3258" w:name="_Toc471368853"/>
      <w:bookmarkStart w:id="3259" w:name="_Toc471374203"/>
      <w:bookmarkStart w:id="3260" w:name="_Toc471374493"/>
      <w:bookmarkStart w:id="3261" w:name="_Toc471368854"/>
      <w:bookmarkStart w:id="3262" w:name="_Toc471374204"/>
      <w:bookmarkStart w:id="3263" w:name="_Toc471374494"/>
      <w:bookmarkStart w:id="3264" w:name="_Toc471368855"/>
      <w:bookmarkStart w:id="3265" w:name="_Toc471374205"/>
      <w:bookmarkStart w:id="3266" w:name="_Toc471374495"/>
      <w:bookmarkStart w:id="3267" w:name="_Toc471368856"/>
      <w:bookmarkStart w:id="3268" w:name="_Toc471374206"/>
      <w:bookmarkStart w:id="3269" w:name="_Toc471374496"/>
      <w:bookmarkStart w:id="3270" w:name="_Toc471368857"/>
      <w:bookmarkStart w:id="3271" w:name="_Toc471374207"/>
      <w:bookmarkStart w:id="3272" w:name="_Toc471374497"/>
      <w:bookmarkStart w:id="3273" w:name="_Toc471368858"/>
      <w:bookmarkStart w:id="3274" w:name="_Toc471374208"/>
      <w:bookmarkStart w:id="3275" w:name="_Toc471374498"/>
      <w:bookmarkStart w:id="3276" w:name="_Toc471368859"/>
      <w:bookmarkStart w:id="3277" w:name="_Toc471374209"/>
      <w:bookmarkStart w:id="3278" w:name="_Toc471374499"/>
      <w:bookmarkStart w:id="3279" w:name="_Toc471368860"/>
      <w:bookmarkStart w:id="3280" w:name="_Toc471374210"/>
      <w:bookmarkStart w:id="3281" w:name="_Toc471374500"/>
      <w:bookmarkStart w:id="3282" w:name="_Toc471368861"/>
      <w:bookmarkStart w:id="3283" w:name="_Toc471374211"/>
      <w:bookmarkStart w:id="3284" w:name="_Toc471374501"/>
      <w:bookmarkStart w:id="3285" w:name="_Toc471368862"/>
      <w:bookmarkStart w:id="3286" w:name="_Toc471374212"/>
      <w:bookmarkStart w:id="3287" w:name="_Toc471374502"/>
      <w:bookmarkStart w:id="3288" w:name="_Toc471368863"/>
      <w:bookmarkStart w:id="3289" w:name="_Toc471374213"/>
      <w:bookmarkStart w:id="3290" w:name="_Toc471374503"/>
      <w:bookmarkStart w:id="3291" w:name="_Toc471368864"/>
      <w:bookmarkStart w:id="3292" w:name="_Toc471374214"/>
      <w:bookmarkStart w:id="3293" w:name="_Toc471374504"/>
      <w:bookmarkStart w:id="3294" w:name="_Toc459639509"/>
      <w:bookmarkStart w:id="3295" w:name="_Toc459795844"/>
      <w:bookmarkStart w:id="3296" w:name="_Toc459977764"/>
      <w:bookmarkStart w:id="3297" w:name="_Toc471368865"/>
      <w:bookmarkStart w:id="3298" w:name="_Toc471374215"/>
      <w:bookmarkStart w:id="3299" w:name="_Toc471374505"/>
      <w:bookmarkStart w:id="3300" w:name="_Toc471368866"/>
      <w:bookmarkStart w:id="3301" w:name="_Toc471374216"/>
      <w:bookmarkStart w:id="3302" w:name="_Toc471374506"/>
      <w:bookmarkStart w:id="3303" w:name="_Toc471368867"/>
      <w:bookmarkStart w:id="3304" w:name="_Toc471374217"/>
      <w:bookmarkStart w:id="3305" w:name="_Toc471374507"/>
      <w:bookmarkStart w:id="3306" w:name="_Toc471368868"/>
      <w:bookmarkStart w:id="3307" w:name="_Toc471374218"/>
      <w:bookmarkStart w:id="3308" w:name="_Toc471374508"/>
      <w:bookmarkStart w:id="3309" w:name="_Toc471368869"/>
      <w:bookmarkStart w:id="3310" w:name="_Toc471374219"/>
      <w:bookmarkStart w:id="3311" w:name="_Toc471374509"/>
      <w:bookmarkStart w:id="3312" w:name="_Toc471368870"/>
      <w:bookmarkStart w:id="3313" w:name="_Toc471374220"/>
      <w:bookmarkStart w:id="3314" w:name="_Toc471374510"/>
      <w:bookmarkStart w:id="3315" w:name="_Toc459639512"/>
      <w:bookmarkStart w:id="3316" w:name="_Toc459795847"/>
      <w:bookmarkStart w:id="3317" w:name="_Toc459977767"/>
      <w:bookmarkStart w:id="3318" w:name="_Toc471368871"/>
      <w:bookmarkStart w:id="3319" w:name="_Toc471374221"/>
      <w:bookmarkStart w:id="3320" w:name="_Toc471374511"/>
      <w:bookmarkStart w:id="3321" w:name="_Toc471368872"/>
      <w:bookmarkStart w:id="3322" w:name="_Toc471374222"/>
      <w:bookmarkStart w:id="3323" w:name="_Toc471374512"/>
      <w:bookmarkStart w:id="3324" w:name="_Toc471368873"/>
      <w:bookmarkStart w:id="3325" w:name="_Toc471374223"/>
      <w:bookmarkStart w:id="3326" w:name="_Toc471374513"/>
      <w:bookmarkStart w:id="3327" w:name="_Provision_of_information"/>
      <w:bookmarkStart w:id="3328" w:name="_4.11_Provision_of"/>
      <w:bookmarkStart w:id="3329" w:name="_Toc471374550"/>
      <w:bookmarkStart w:id="3330" w:name="_Toc477960033"/>
      <w:bookmarkStart w:id="3331" w:name="_Toc483222938"/>
      <w:bookmarkStart w:id="3332" w:name="_Toc50162124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t>4.11 Provision</w:t>
      </w:r>
      <w:r w:rsidR="00983AE6" w:rsidRPr="00736F23">
        <w:t xml:space="preserve"> of information to students</w:t>
      </w:r>
      <w:bookmarkEnd w:id="3329"/>
      <w:bookmarkEnd w:id="3330"/>
      <w:bookmarkEnd w:id="3331"/>
      <w:bookmarkEnd w:id="3332"/>
    </w:p>
    <w:p w14:paraId="717CDBE4" w14:textId="424A0A93" w:rsidR="003C6E14" w:rsidRPr="003C6E14" w:rsidRDefault="003C6E14" w:rsidP="00A5748D">
      <w:pPr>
        <w:pStyle w:val="Heading5"/>
      </w:pPr>
      <w:bookmarkStart w:id="3333" w:name="_Provider_administration_obligations"/>
      <w:bookmarkEnd w:id="3333"/>
      <w:r w:rsidRPr="003C6E14">
        <w:t>Provider administration obligations for approved VET Student Loans courses</w:t>
      </w:r>
    </w:p>
    <w:p w14:paraId="5E0CADBE" w14:textId="41FF07AC" w:rsidR="003C6E14" w:rsidRDefault="003C6E14" w:rsidP="003C6E14">
      <w:r>
        <w:t>As an approved provider to offer approved courses for VET Student Loans, there are many aspects of the legislation that will apply across all VET Student Loans courses the provider is approved to offer.</w:t>
      </w:r>
    </w:p>
    <w:p w14:paraId="50D3BEEA" w14:textId="03D349B8" w:rsidR="003C6E14" w:rsidRDefault="003C6E14" w:rsidP="003C6E14">
      <w:r>
        <w:t xml:space="preserve">The provider’s obligations in some cases extend to all </w:t>
      </w:r>
      <w:r w:rsidR="00FC01FC">
        <w:t xml:space="preserve">current and prospective </w:t>
      </w:r>
      <w:r>
        <w:t>students undertaking a</w:t>
      </w:r>
      <w:r w:rsidR="00FC01FC">
        <w:t>n approved</w:t>
      </w:r>
      <w:r>
        <w:t xml:space="preserve"> course with a provider regardless of whether that student is accessing VET Student Loans.  The definition of a student, for the purposes of VET Student Loans, includes </w:t>
      </w:r>
      <w:r w:rsidR="00FC01FC">
        <w:t xml:space="preserve">prospective </w:t>
      </w:r>
      <w:r>
        <w:t>student</w:t>
      </w:r>
      <w:r w:rsidR="00FC01FC">
        <w:t>s</w:t>
      </w:r>
      <w:r>
        <w:t>.  This means that for a provider, it must ensure that the same administrative processes apply for any student undertaking an approved course.</w:t>
      </w:r>
    </w:p>
    <w:p w14:paraId="34FBCF1E" w14:textId="2EA2C2CE" w:rsidR="00280FFD" w:rsidRPr="00724FCD" w:rsidRDefault="00280FFD" w:rsidP="00E11099">
      <w:pPr>
        <w:pStyle w:val="Heading3"/>
      </w:pPr>
      <w:bookmarkStart w:id="3334" w:name="_Providing_a_VET"/>
      <w:bookmarkStart w:id="3335" w:name="_Toc501621248"/>
      <w:bookmarkStart w:id="3336" w:name="_Toc471374551"/>
      <w:bookmarkStart w:id="3337" w:name="_Toc483222939"/>
      <w:bookmarkEnd w:id="3334"/>
      <w:r w:rsidRPr="00724FCD">
        <w:t>4.11.1 Providing information before enrolment</w:t>
      </w:r>
      <w:bookmarkEnd w:id="3335"/>
    </w:p>
    <w:p w14:paraId="3B458A17" w14:textId="77777777" w:rsidR="00280FFD" w:rsidRDefault="00280FFD" w:rsidP="00280FFD">
      <w:r w:rsidRPr="00736F23">
        <w:t xml:space="preserve">Before enrolling a student in an approved course, an approved </w:t>
      </w:r>
      <w:r>
        <w:t xml:space="preserve">course </w:t>
      </w:r>
      <w:r w:rsidRPr="00736F23">
        <w:t xml:space="preserve">provider must give the student a range of information. This information is listed at section 98 of the Rules. An optional checklist is at </w:t>
      </w:r>
      <w:hyperlink w:anchor="_Appendix_C_–" w:history="1">
        <w:r w:rsidRPr="0003126A">
          <w:rPr>
            <w:rStyle w:val="Hyperlink"/>
          </w:rPr>
          <w:t>Appendix B</w:t>
        </w:r>
      </w:hyperlink>
      <w:r w:rsidRPr="00736F23">
        <w:t xml:space="preserve"> for use by providers if they wish.</w:t>
      </w:r>
      <w:r>
        <w:t xml:space="preserve"> These obligations apply to all current and prospective students undertaking an approved course with a provider regardless of whether the student is accessing a VET Student Loan.</w:t>
      </w:r>
    </w:p>
    <w:p w14:paraId="75DD0BBA" w14:textId="54F98979" w:rsidR="00983AE6" w:rsidRPr="00736F23" w:rsidRDefault="00983AE6" w:rsidP="00983AE6">
      <w:pPr>
        <w:pStyle w:val="Heading3"/>
      </w:pPr>
      <w:bookmarkStart w:id="3338" w:name="_4.11.2__"/>
      <w:bookmarkStart w:id="3339" w:name="_Toc501621249"/>
      <w:bookmarkEnd w:id="3338"/>
      <w:r>
        <w:t>4.11.</w:t>
      </w:r>
      <w:r w:rsidR="00280FFD">
        <w:t>2</w:t>
      </w:r>
      <w:r>
        <w:t xml:space="preserve">   </w:t>
      </w:r>
      <w:r w:rsidRPr="00736F23">
        <w:t>Providing a VET Student Loan Statement of Covered Fees</w:t>
      </w:r>
      <w:bookmarkEnd w:id="3336"/>
      <w:bookmarkEnd w:id="3337"/>
      <w:bookmarkEnd w:id="3339"/>
    </w:p>
    <w:p w14:paraId="3C17D675" w14:textId="77777777" w:rsidR="00983AE6" w:rsidRPr="00736F23" w:rsidRDefault="00983AE6" w:rsidP="00983AE6">
      <w:pPr>
        <w:rPr>
          <w:sz w:val="20"/>
          <w:szCs w:val="20"/>
        </w:rPr>
      </w:pPr>
      <w:r w:rsidRPr="00736F23">
        <w:t xml:space="preserve">When an approved </w:t>
      </w:r>
      <w:r>
        <w:t xml:space="preserve">course </w:t>
      </w:r>
      <w:r w:rsidRPr="00736F23">
        <w:t>provider has enrolled a student in a course, the provider must give the student a written statement as to whether or not the enrolment is accepted on the basis that some or all of the tuition fees for the course will be covered by a VET student loan. Where tuition fees are covered by a VET student loan, they are known as ‘covered fees’</w:t>
      </w:r>
      <w:r w:rsidRPr="00736F23">
        <w:rPr>
          <w:sz w:val="20"/>
          <w:szCs w:val="20"/>
        </w:rPr>
        <w:t xml:space="preserve"> </w:t>
      </w:r>
      <w:r w:rsidRPr="0003126A">
        <w:rPr>
          <w:rStyle w:val="ReferenceChar"/>
        </w:rPr>
        <w:t>[Act s 56]</w:t>
      </w:r>
      <w:r w:rsidRPr="0003126A">
        <w:t>.</w:t>
      </w:r>
      <w:r w:rsidRPr="00736F23">
        <w:rPr>
          <w:sz w:val="20"/>
          <w:szCs w:val="20"/>
        </w:rPr>
        <w:t xml:space="preserve"> </w:t>
      </w:r>
    </w:p>
    <w:p w14:paraId="798B11F4" w14:textId="77777777" w:rsidR="00983AE6" w:rsidRPr="00736F23" w:rsidRDefault="00983AE6" w:rsidP="00983AE6">
      <w:r w:rsidRPr="00736F23">
        <w:t>The statement must:</w:t>
      </w:r>
    </w:p>
    <w:p w14:paraId="673CBA78" w14:textId="77777777" w:rsidR="00983AE6" w:rsidRPr="00736F23" w:rsidRDefault="00983AE6" w:rsidP="00A0727A">
      <w:pPr>
        <w:pStyle w:val="ListBullet"/>
        <w:numPr>
          <w:ilvl w:val="0"/>
          <w:numId w:val="74"/>
        </w:numPr>
      </w:pPr>
      <w:r w:rsidRPr="00736F23">
        <w:t>be titled the ‘VET Student Loan Statement of Covered Fees’</w:t>
      </w:r>
      <w:r w:rsidRPr="00736F23">
        <w:rPr>
          <w:sz w:val="20"/>
        </w:rPr>
        <w:t xml:space="preserve"> </w:t>
      </w:r>
      <w:r w:rsidRPr="0003126A">
        <w:rPr>
          <w:rStyle w:val="ReferenceChar"/>
        </w:rPr>
        <w:t>[Rules s 129]</w:t>
      </w:r>
      <w:r w:rsidRPr="00736F23">
        <w:rPr>
          <w:sz w:val="20"/>
        </w:rPr>
        <w:t xml:space="preserve"> and</w:t>
      </w:r>
    </w:p>
    <w:p w14:paraId="1FCA7F1D" w14:textId="77777777" w:rsidR="00983AE6" w:rsidRDefault="00983AE6" w:rsidP="00A0727A">
      <w:pPr>
        <w:pStyle w:val="ListBullet"/>
        <w:numPr>
          <w:ilvl w:val="0"/>
          <w:numId w:val="74"/>
        </w:numPr>
      </w:pPr>
      <w:r w:rsidRPr="00736F23">
        <w:t>must include certain information about the provider and course</w:t>
      </w:r>
      <w:r>
        <w:t xml:space="preserve"> </w:t>
      </w:r>
      <w:r w:rsidRPr="0003126A">
        <w:rPr>
          <w:rStyle w:val="ReferenceChar"/>
        </w:rPr>
        <w:t>[Rules s 129 and paragraph 99(4)(a) to (i)]</w:t>
      </w:r>
      <w:r>
        <w:t>:</w:t>
      </w:r>
    </w:p>
    <w:p w14:paraId="367B3621" w14:textId="77777777" w:rsidR="00983AE6" w:rsidRPr="003F391D" w:rsidRDefault="00983AE6" w:rsidP="00A0727A">
      <w:pPr>
        <w:pStyle w:val="ListBullet2"/>
        <w:numPr>
          <w:ilvl w:val="1"/>
          <w:numId w:val="50"/>
        </w:numPr>
      </w:pPr>
      <w:r w:rsidRPr="003F391D">
        <w:t>the student’s name, residential address,</w:t>
      </w:r>
      <w:r>
        <w:t xml:space="preserve"> phone number and email address</w:t>
      </w:r>
    </w:p>
    <w:p w14:paraId="2FD86B7A" w14:textId="77777777" w:rsidR="00983AE6" w:rsidRPr="00351BBE" w:rsidRDefault="00983AE6" w:rsidP="00A0727A">
      <w:pPr>
        <w:pStyle w:val="ListBullet2"/>
        <w:numPr>
          <w:ilvl w:val="1"/>
          <w:numId w:val="50"/>
        </w:numPr>
      </w:pPr>
      <w:r w:rsidRPr="00351BBE">
        <w:t xml:space="preserve">the provider’s name, any other business name that the provider uses and  the provider’s </w:t>
      </w:r>
      <w:r>
        <w:t>RTO registration code</w:t>
      </w:r>
    </w:p>
    <w:p w14:paraId="1C9FF8D8" w14:textId="77777777" w:rsidR="00983AE6" w:rsidRPr="003F391D" w:rsidRDefault="00983AE6" w:rsidP="00A0727A">
      <w:pPr>
        <w:pStyle w:val="ListBullet2"/>
        <w:numPr>
          <w:ilvl w:val="1"/>
          <w:numId w:val="50"/>
        </w:numPr>
      </w:pPr>
      <w:r>
        <w:t>the date of the notice</w:t>
      </w:r>
    </w:p>
    <w:p w14:paraId="401A41EC" w14:textId="77777777" w:rsidR="00983AE6" w:rsidRDefault="00983AE6" w:rsidP="00A0727A">
      <w:pPr>
        <w:pStyle w:val="ListBullet2"/>
        <w:numPr>
          <w:ilvl w:val="1"/>
          <w:numId w:val="50"/>
        </w:numPr>
      </w:pPr>
      <w:r w:rsidRPr="003F391D">
        <w:t>the student’s student identification n</w:t>
      </w:r>
      <w:r>
        <w:t>umber as issued by the provider</w:t>
      </w:r>
    </w:p>
    <w:p w14:paraId="4A5FD134" w14:textId="77777777" w:rsidR="00983AE6" w:rsidRDefault="00983AE6" w:rsidP="00A0727A">
      <w:pPr>
        <w:pStyle w:val="ListBullet2"/>
        <w:numPr>
          <w:ilvl w:val="1"/>
          <w:numId w:val="50"/>
        </w:numPr>
      </w:pPr>
      <w:r w:rsidRPr="003F391D">
        <w:t>the student’s Commonwealth Higher Education Student Support Number</w:t>
      </w:r>
      <w:r>
        <w:t xml:space="preserve"> (CHESSN)</w:t>
      </w:r>
      <w:r w:rsidRPr="003F391D">
        <w:t>, i</w:t>
      </w:r>
      <w:r>
        <w:t>f available</w:t>
      </w:r>
    </w:p>
    <w:p w14:paraId="58E982E5" w14:textId="77777777" w:rsidR="00983AE6" w:rsidRPr="003F391D" w:rsidRDefault="00983AE6" w:rsidP="00A0727A">
      <w:pPr>
        <w:pStyle w:val="ListBullet2"/>
        <w:numPr>
          <w:ilvl w:val="1"/>
          <w:numId w:val="50"/>
        </w:numPr>
      </w:pPr>
      <w:r w:rsidRPr="003F391D">
        <w:t>the student’s student identifier</w:t>
      </w:r>
      <w:r>
        <w:t xml:space="preserve"> (USI)</w:t>
      </w:r>
      <w:r w:rsidRPr="003F391D">
        <w:t>;</w:t>
      </w:r>
    </w:p>
    <w:p w14:paraId="114F5E37" w14:textId="77777777" w:rsidR="00983AE6" w:rsidRPr="003F391D" w:rsidRDefault="00983AE6" w:rsidP="00A0727A">
      <w:pPr>
        <w:pStyle w:val="ListBullet2"/>
        <w:numPr>
          <w:ilvl w:val="1"/>
          <w:numId w:val="50"/>
        </w:numPr>
      </w:pPr>
      <w:r w:rsidRPr="003F391D">
        <w:t xml:space="preserve">the name of the course </w:t>
      </w:r>
      <w:r w:rsidR="00F55AF7">
        <w:t>.</w:t>
      </w:r>
      <w:r w:rsidRPr="00E15FC0">
        <w:rPr>
          <w:rStyle w:val="ReferencesChar"/>
          <w:rFonts w:asciiTheme="minorHAnsi" w:hAnsiTheme="minorHAnsi" w:cstheme="minorHAnsi"/>
          <w:color w:val="3333FF"/>
          <w:szCs w:val="16"/>
        </w:rPr>
        <w:t xml:space="preserve"> </w:t>
      </w:r>
    </w:p>
    <w:p w14:paraId="2CDE2159" w14:textId="77777777" w:rsidR="00983AE6" w:rsidRPr="00736F23" w:rsidRDefault="00F55AF7" w:rsidP="00983AE6">
      <w:pPr>
        <w:pStyle w:val="Normal-aftertable"/>
      </w:pPr>
      <w:r>
        <w:lastRenderedPageBreak/>
        <w:t>I</w:t>
      </w:r>
      <w:r w:rsidRPr="00736F23">
        <w:t xml:space="preserve">f </w:t>
      </w:r>
      <w:r w:rsidR="00983AE6" w:rsidRPr="00736F23">
        <w:t xml:space="preserve">the enrolment is accepted on the basis that only some of the tuition fees for the course will be covered—show the amounts of the tuition fees that will, and will not, be covered by the VET student loan </w:t>
      </w:r>
      <w:r w:rsidR="00983AE6" w:rsidRPr="0003126A">
        <w:rPr>
          <w:rStyle w:val="ReferenceChar"/>
        </w:rPr>
        <w:t>[Act paragraph 56(2)(b)]</w:t>
      </w:r>
      <w:r w:rsidR="00983AE6" w:rsidRPr="0003126A">
        <w:t>.</w:t>
      </w:r>
    </w:p>
    <w:p w14:paraId="60B2241A" w14:textId="77777777" w:rsidR="00983AE6" w:rsidRPr="00736F23" w:rsidRDefault="00983AE6" w:rsidP="00983AE6">
      <w:r w:rsidRPr="00736F23">
        <w:t xml:space="preserve">An approved </w:t>
      </w:r>
      <w:r>
        <w:t xml:space="preserve">course </w:t>
      </w:r>
      <w:r w:rsidRPr="00736F23">
        <w:t xml:space="preserve">provider must give the notice to the student after the student enrols in the course and before the first census day for the course. </w:t>
      </w:r>
    </w:p>
    <w:p w14:paraId="2D1FF24E" w14:textId="77777777" w:rsidR="00983AE6" w:rsidRPr="0059349C" w:rsidRDefault="00983AE6" w:rsidP="00983AE6">
      <w:r w:rsidRPr="0059349C">
        <w:t xml:space="preserve">A sample of a </w:t>
      </w:r>
      <w:r>
        <w:t xml:space="preserve">VET Student Loan Statement of Covered Fees is provided at </w:t>
      </w:r>
      <w:hyperlink w:anchor="_Appendix_D_–" w:history="1">
        <w:r w:rsidRPr="009B6106">
          <w:rPr>
            <w:rStyle w:val="Hyperlink"/>
          </w:rPr>
          <w:t>Appendix C</w:t>
        </w:r>
      </w:hyperlink>
      <w:r>
        <w:t xml:space="preserve">. However providers are responsible for ensuring that their </w:t>
      </w:r>
      <w:r w:rsidRPr="0059349C">
        <w:t>VET Student Loan Statement of Covered Fees</w:t>
      </w:r>
      <w:r>
        <w:t xml:space="preserve"> meets the requirements of section 56 of the Act and section 129 of the Rules.</w:t>
      </w:r>
    </w:p>
    <w:p w14:paraId="3D9F73A7" w14:textId="77777777" w:rsidR="00983AE6" w:rsidRPr="00736F23" w:rsidRDefault="00983AE6" w:rsidP="00983AE6">
      <w:r w:rsidRPr="0003126A">
        <w:rPr>
          <w:rStyle w:val="Strong"/>
        </w:rPr>
        <w:t>The VET Student Loan Statement of Covered Fees</w:t>
      </w:r>
      <w:r w:rsidRPr="0003126A" w:rsidDel="00DB6907">
        <w:rPr>
          <w:rStyle w:val="Strong"/>
        </w:rPr>
        <w:t xml:space="preserve"> </w:t>
      </w:r>
      <w:r w:rsidRPr="0003126A">
        <w:rPr>
          <w:rStyle w:val="Strong"/>
        </w:rPr>
        <w:t>can be given at the same time and as part of the same notice as the VET Student Loan Fee Notice for the first fee period of the course</w:t>
      </w:r>
      <w:r w:rsidRPr="00736F23">
        <w:t xml:space="preserve"> </w:t>
      </w:r>
      <w:r w:rsidRPr="0003126A">
        <w:rPr>
          <w:rStyle w:val="ReferenceChar"/>
        </w:rPr>
        <w:t>[Rules s 129(3)]</w:t>
      </w:r>
      <w:r w:rsidRPr="0003126A">
        <w:rPr>
          <w:rStyle w:val="Strong"/>
        </w:rPr>
        <w:t xml:space="preserve">. </w:t>
      </w:r>
    </w:p>
    <w:p w14:paraId="292494ED" w14:textId="478EDAE6" w:rsidR="00983AE6" w:rsidRPr="00736F23" w:rsidRDefault="00983AE6" w:rsidP="00983AE6">
      <w:pPr>
        <w:pStyle w:val="Heading3"/>
      </w:pPr>
      <w:bookmarkStart w:id="3340" w:name="_Providing_a_VET_1"/>
      <w:bookmarkStart w:id="3341" w:name="_4.11.3__"/>
      <w:bookmarkStart w:id="3342" w:name="_Toc471374552"/>
      <w:bookmarkStart w:id="3343" w:name="_Toc483222940"/>
      <w:bookmarkStart w:id="3344" w:name="_Toc501621250"/>
      <w:bookmarkEnd w:id="3340"/>
      <w:bookmarkEnd w:id="3341"/>
      <w:r>
        <w:t>4.11.</w:t>
      </w:r>
      <w:r w:rsidR="00280FFD">
        <w:t>3</w:t>
      </w:r>
      <w:r>
        <w:t xml:space="preserve">   </w:t>
      </w:r>
      <w:r w:rsidRPr="00736F23">
        <w:t>Providing a VET Student Loan Fee Notice</w:t>
      </w:r>
      <w:bookmarkEnd w:id="3342"/>
      <w:bookmarkEnd w:id="3343"/>
      <w:bookmarkEnd w:id="3344"/>
      <w:r w:rsidRPr="00736F23">
        <w:t xml:space="preserve"> </w:t>
      </w:r>
    </w:p>
    <w:p w14:paraId="7B7217F8" w14:textId="3E9272B5" w:rsidR="00983AE6" w:rsidRDefault="00855574" w:rsidP="00983AE6">
      <w:r>
        <w:t xml:space="preserve">An approved course provider must provide to a </w:t>
      </w:r>
      <w:r w:rsidR="00983AE6" w:rsidRPr="00736F23">
        <w:t>student enrolled in a</w:t>
      </w:r>
      <w:r>
        <w:t>n approved</w:t>
      </w:r>
      <w:r w:rsidR="00983AE6" w:rsidRPr="00736F23">
        <w:t xml:space="preserve"> course</w:t>
      </w:r>
      <w:r>
        <w:t>, regardless of whether the student wishes to access a VET Student Loan,</w:t>
      </w:r>
      <w:r w:rsidR="00983AE6" w:rsidRPr="00736F23">
        <w:t xml:space="preserve"> a </w:t>
      </w:r>
      <w:r>
        <w:t>‘</w:t>
      </w:r>
      <w:r w:rsidR="00983AE6" w:rsidRPr="00736F23">
        <w:t xml:space="preserve">VET Student Loan Fee </w:t>
      </w:r>
      <w:r w:rsidR="00983AE6" w:rsidRPr="00844FEC">
        <w:t>Notice</w:t>
      </w:r>
      <w:r w:rsidR="00983AE6" w:rsidRPr="00844FEC">
        <w:rPr>
          <w:i/>
        </w:rPr>
        <w:t xml:space="preserve">’ </w:t>
      </w:r>
      <w:r w:rsidR="00983AE6" w:rsidRPr="00844FEC">
        <w:t>in relation to each fee period</w:t>
      </w:r>
      <w:r w:rsidR="00983AE6" w:rsidRPr="00736F23">
        <w:rPr>
          <w:b/>
          <w:i/>
        </w:rPr>
        <w:t xml:space="preserve"> </w:t>
      </w:r>
      <w:r w:rsidR="00983AE6" w:rsidRPr="0003126A">
        <w:rPr>
          <w:rStyle w:val="ReferenceChar"/>
        </w:rPr>
        <w:t>[Rules s 99]</w:t>
      </w:r>
      <w:r w:rsidR="00983AE6" w:rsidRPr="0003126A">
        <w:t xml:space="preserve">. </w:t>
      </w:r>
    </w:p>
    <w:p w14:paraId="630E770F" w14:textId="6846F0BC" w:rsidR="009C7DD5" w:rsidRPr="00003347" w:rsidRDefault="00003347" w:rsidP="00003347">
      <w:r w:rsidRPr="00032D06">
        <w:t xml:space="preserve">The requirement is that an approved course provider must give a student enrolled in an approved course a ‘VET Student Loan fee notice’. This requirement applies in relation to students who are enrolled in an approved course who are potentially eligible for VET Student Loans and those who have applied for a VET Student Loan. </w:t>
      </w:r>
      <w:r w:rsidR="009C7DD5" w:rsidRPr="00032D06">
        <w:t xml:space="preserve">This requirement does not apply for those students who </w:t>
      </w:r>
      <w:r w:rsidRPr="00032D06">
        <w:t xml:space="preserve">clearly </w:t>
      </w:r>
      <w:r w:rsidR="009C7DD5" w:rsidRPr="00032D06">
        <w:t>do not satisfy the citizenship and residency requirements</w:t>
      </w:r>
      <w:r w:rsidRPr="00032D06">
        <w:t>, such as international students</w:t>
      </w:r>
      <w:r w:rsidR="009C7DD5" w:rsidRPr="00032D06">
        <w:t>.</w:t>
      </w:r>
    </w:p>
    <w:p w14:paraId="3CFA5EEE" w14:textId="7A979A1E" w:rsidR="00983AE6" w:rsidRPr="00736F23" w:rsidRDefault="00855574" w:rsidP="00983AE6">
      <w:r>
        <w:t xml:space="preserve">The VET Student Loan </w:t>
      </w:r>
      <w:r w:rsidR="00F119E2">
        <w:t xml:space="preserve">Fee </w:t>
      </w:r>
      <w:r>
        <w:t>Notice must be provided</w:t>
      </w:r>
      <w:r w:rsidR="00983AE6" w:rsidRPr="00736F23">
        <w:t xml:space="preserve"> to the student at least 14 days before the first census day in the fee period. </w:t>
      </w:r>
      <w:r w:rsidR="00983AE6">
        <w:t>More than one census day can be included in the fee notice – for example, a provider may wish to provide one fee notice for a term or semester’s study.</w:t>
      </w:r>
    </w:p>
    <w:p w14:paraId="6C189A30" w14:textId="77777777" w:rsidR="00983AE6" w:rsidRPr="00736F23" w:rsidRDefault="00983AE6" w:rsidP="00983AE6">
      <w:r w:rsidRPr="00736F23">
        <w:t xml:space="preserve">Providers that are not public universities must not give the notice to the student more than 42 days before the beginning of the fee period. </w:t>
      </w:r>
    </w:p>
    <w:p w14:paraId="06E01974" w14:textId="77777777" w:rsidR="00983AE6" w:rsidRPr="003F391D" w:rsidRDefault="00983AE6" w:rsidP="00983AE6">
      <w:r w:rsidRPr="00736F23">
        <w:t xml:space="preserve">Information to be included in the VET Student Loan </w:t>
      </w:r>
      <w:r>
        <w:t xml:space="preserve">Fee </w:t>
      </w:r>
      <w:r w:rsidRPr="00736F23">
        <w:t xml:space="preserve">Notice is at </w:t>
      </w:r>
      <w:r>
        <w:t xml:space="preserve">subsection </w:t>
      </w:r>
      <w:r w:rsidRPr="00736F23">
        <w:t>99(4) of the Rules</w:t>
      </w:r>
      <w:r>
        <w:t xml:space="preserve"> and </w:t>
      </w:r>
      <w:r w:rsidRPr="003F391D">
        <w:t>include</w:t>
      </w:r>
      <w:r>
        <w:t>s</w:t>
      </w:r>
      <w:r w:rsidRPr="003F391D">
        <w:t xml:space="preserve"> the following:</w:t>
      </w:r>
    </w:p>
    <w:p w14:paraId="5E3D2DE9" w14:textId="77777777" w:rsidR="00983AE6" w:rsidRPr="00B4539A" w:rsidRDefault="00983AE6" w:rsidP="00A0727A">
      <w:pPr>
        <w:pStyle w:val="ListBullet"/>
        <w:numPr>
          <w:ilvl w:val="0"/>
          <w:numId w:val="74"/>
        </w:numPr>
      </w:pPr>
      <w:r w:rsidRPr="00B4539A">
        <w:t>the student’s name, residential address, phone number and email address</w:t>
      </w:r>
    </w:p>
    <w:p w14:paraId="6C173B61" w14:textId="77777777" w:rsidR="00983AE6" w:rsidRPr="00B4539A" w:rsidRDefault="00983AE6" w:rsidP="00A0727A">
      <w:pPr>
        <w:pStyle w:val="ListBullet"/>
        <w:numPr>
          <w:ilvl w:val="0"/>
          <w:numId w:val="74"/>
        </w:numPr>
      </w:pPr>
      <w:r w:rsidRPr="00B4539A">
        <w:t xml:space="preserve">the provider’s name, any other business name that the provider uses and the provider’s </w:t>
      </w:r>
      <w:r>
        <w:t xml:space="preserve">RTO </w:t>
      </w:r>
      <w:r w:rsidRPr="00B4539A">
        <w:t>registration code</w:t>
      </w:r>
    </w:p>
    <w:p w14:paraId="524DDC1E" w14:textId="77777777" w:rsidR="00983AE6" w:rsidRPr="00B4539A" w:rsidRDefault="00983AE6" w:rsidP="00A0727A">
      <w:pPr>
        <w:pStyle w:val="ListBullet"/>
        <w:numPr>
          <w:ilvl w:val="0"/>
          <w:numId w:val="74"/>
        </w:numPr>
      </w:pPr>
      <w:r w:rsidRPr="00B4539A">
        <w:t>the date of the notice</w:t>
      </w:r>
    </w:p>
    <w:p w14:paraId="100249B0" w14:textId="77777777" w:rsidR="00983AE6" w:rsidRPr="00B4539A" w:rsidRDefault="00983AE6" w:rsidP="00A0727A">
      <w:pPr>
        <w:pStyle w:val="ListBullet"/>
        <w:numPr>
          <w:ilvl w:val="0"/>
          <w:numId w:val="74"/>
        </w:numPr>
      </w:pPr>
      <w:r w:rsidRPr="00B4539A">
        <w:t>the student’s student identification number as issued by the provider</w:t>
      </w:r>
    </w:p>
    <w:p w14:paraId="42D18FCC" w14:textId="77777777" w:rsidR="00983AE6" w:rsidRPr="00B4539A" w:rsidRDefault="00983AE6" w:rsidP="00A0727A">
      <w:pPr>
        <w:pStyle w:val="ListBullet"/>
        <w:numPr>
          <w:ilvl w:val="0"/>
          <w:numId w:val="74"/>
        </w:numPr>
      </w:pPr>
      <w:r w:rsidRPr="00B4539A">
        <w:t>the student’s Commonwealth Higher Education Student Support Number</w:t>
      </w:r>
      <w:r>
        <w:t xml:space="preserve"> (CHESSN)</w:t>
      </w:r>
      <w:r w:rsidRPr="00B4539A">
        <w:t xml:space="preserve"> if available</w:t>
      </w:r>
    </w:p>
    <w:p w14:paraId="7C865B0C" w14:textId="77777777" w:rsidR="00983AE6" w:rsidRPr="00B4539A" w:rsidRDefault="00983AE6" w:rsidP="00A0727A">
      <w:pPr>
        <w:pStyle w:val="ListBullet"/>
        <w:numPr>
          <w:ilvl w:val="0"/>
          <w:numId w:val="74"/>
        </w:numPr>
      </w:pPr>
      <w:r w:rsidRPr="00B4539A">
        <w:t>the student’s student identifier</w:t>
      </w:r>
      <w:r>
        <w:t xml:space="preserve"> (USI)</w:t>
      </w:r>
    </w:p>
    <w:p w14:paraId="495FE8AD" w14:textId="77777777" w:rsidR="00983AE6" w:rsidRPr="00B4539A" w:rsidRDefault="00983AE6" w:rsidP="00A0727A">
      <w:pPr>
        <w:pStyle w:val="ListBullet"/>
        <w:numPr>
          <w:ilvl w:val="0"/>
          <w:numId w:val="74"/>
        </w:numPr>
      </w:pPr>
      <w:r w:rsidRPr="00B4539A">
        <w:t>the name of the course</w:t>
      </w:r>
    </w:p>
    <w:p w14:paraId="7F6DFE80" w14:textId="77777777" w:rsidR="00983AE6" w:rsidRPr="00B4539A" w:rsidRDefault="00983AE6" w:rsidP="00A0727A">
      <w:pPr>
        <w:pStyle w:val="ListBullet"/>
        <w:numPr>
          <w:ilvl w:val="0"/>
          <w:numId w:val="74"/>
        </w:numPr>
      </w:pPr>
      <w:r w:rsidRPr="00B4539A">
        <w:t>the names of the parts of the course included in the fee period</w:t>
      </w:r>
    </w:p>
    <w:p w14:paraId="39C9638B" w14:textId="77777777" w:rsidR="00983AE6" w:rsidRPr="00B4539A" w:rsidRDefault="00983AE6" w:rsidP="00A0727A">
      <w:pPr>
        <w:pStyle w:val="ListBullet"/>
        <w:numPr>
          <w:ilvl w:val="0"/>
          <w:numId w:val="74"/>
        </w:numPr>
      </w:pPr>
      <w:r w:rsidRPr="00B4539A">
        <w:t>an identifying code for each part of the course included in the fee period</w:t>
      </w:r>
    </w:p>
    <w:p w14:paraId="7DFCACD3" w14:textId="77777777" w:rsidR="00983AE6" w:rsidRPr="00B4539A" w:rsidRDefault="00983AE6" w:rsidP="00A0727A">
      <w:pPr>
        <w:pStyle w:val="ListBullet"/>
        <w:numPr>
          <w:ilvl w:val="0"/>
          <w:numId w:val="74"/>
        </w:numPr>
      </w:pPr>
      <w:r w:rsidRPr="00B4539A">
        <w:t>the census day for each part of the course included in the fee period</w:t>
      </w:r>
    </w:p>
    <w:p w14:paraId="617F18FB" w14:textId="77777777" w:rsidR="00983AE6" w:rsidRPr="00B4539A" w:rsidRDefault="00983AE6" w:rsidP="00A0727A">
      <w:pPr>
        <w:pStyle w:val="ListBullet"/>
        <w:numPr>
          <w:ilvl w:val="0"/>
          <w:numId w:val="74"/>
        </w:numPr>
      </w:pPr>
      <w:r w:rsidRPr="00B4539A">
        <w:t>for each part of the course included in the fee period:</w:t>
      </w:r>
    </w:p>
    <w:p w14:paraId="63EE389D" w14:textId="77777777" w:rsidR="00983AE6" w:rsidRPr="00B4539A" w:rsidRDefault="00983AE6" w:rsidP="00A0727A">
      <w:pPr>
        <w:pStyle w:val="ListBullet2"/>
        <w:numPr>
          <w:ilvl w:val="1"/>
          <w:numId w:val="51"/>
        </w:numPr>
      </w:pPr>
      <w:r w:rsidRPr="00B4539A">
        <w:t>the amount of the tuition fees that are to be covered by a VET student loan, and</w:t>
      </w:r>
    </w:p>
    <w:p w14:paraId="44FEBA4C" w14:textId="77777777" w:rsidR="00983AE6" w:rsidRPr="00B4539A" w:rsidRDefault="00983AE6" w:rsidP="00A0727A">
      <w:pPr>
        <w:pStyle w:val="ListBullet2"/>
        <w:numPr>
          <w:ilvl w:val="1"/>
          <w:numId w:val="51"/>
        </w:numPr>
      </w:pPr>
      <w:r w:rsidRPr="00B4539A">
        <w:t>the amount of HELP debt the student will accrue (which could be up to 120% of the loan amount concerned), and</w:t>
      </w:r>
    </w:p>
    <w:p w14:paraId="7B3DD896" w14:textId="77777777" w:rsidR="007228C7" w:rsidRDefault="00983AE6" w:rsidP="00A0727A">
      <w:pPr>
        <w:pStyle w:val="ListBullet2"/>
        <w:numPr>
          <w:ilvl w:val="1"/>
          <w:numId w:val="51"/>
        </w:numPr>
      </w:pPr>
      <w:r w:rsidRPr="00B4539A">
        <w:t>the amount of the tuition fees that is to be paid by the student, and when the amount must be paid</w:t>
      </w:r>
    </w:p>
    <w:p w14:paraId="0EAAF0AD" w14:textId="77777777" w:rsidR="00983AE6" w:rsidRPr="00B4539A" w:rsidRDefault="00983AE6" w:rsidP="00F15113">
      <w:pPr>
        <w:pStyle w:val="ListBullet"/>
        <w:keepNext/>
        <w:keepLines/>
        <w:numPr>
          <w:ilvl w:val="0"/>
          <w:numId w:val="74"/>
        </w:numPr>
        <w:ind w:left="357" w:hanging="357"/>
      </w:pPr>
      <w:r w:rsidRPr="00B4539A">
        <w:lastRenderedPageBreak/>
        <w:t>a statement that:</w:t>
      </w:r>
    </w:p>
    <w:p w14:paraId="4EDFCBD4" w14:textId="77777777" w:rsidR="00983AE6" w:rsidRPr="00B4539A" w:rsidRDefault="00983AE6" w:rsidP="00A0727A">
      <w:pPr>
        <w:pStyle w:val="ListBullet2"/>
        <w:numPr>
          <w:ilvl w:val="1"/>
          <w:numId w:val="52"/>
        </w:numPr>
      </w:pPr>
      <w:r w:rsidRPr="00B4539A">
        <w:t>withdrawal of the student’s enrolment in a part of the course before the census day for the part of the course must be in accordance with the provider’s procedure, and</w:t>
      </w:r>
    </w:p>
    <w:p w14:paraId="7A9B5995" w14:textId="77777777" w:rsidR="00983AE6" w:rsidRPr="00D83D47" w:rsidRDefault="00983AE6" w:rsidP="00A0727A">
      <w:pPr>
        <w:pStyle w:val="ListBullet2"/>
        <w:numPr>
          <w:ilvl w:val="1"/>
          <w:numId w:val="52"/>
        </w:numPr>
      </w:pPr>
      <w:r w:rsidRPr="00D83D47">
        <w:t>if the student withdraws from a part of the course before the census day for the part of the course, the student will not incur a VET student loan debt for the part of the course and will receive a refund for any up-front payment of tuition fees</w:t>
      </w:r>
    </w:p>
    <w:p w14:paraId="34C8939A" w14:textId="731CC479" w:rsidR="00983AE6" w:rsidRPr="00B4539A" w:rsidRDefault="00983AE6" w:rsidP="00A0727A">
      <w:pPr>
        <w:pStyle w:val="ListBullet"/>
        <w:numPr>
          <w:ilvl w:val="0"/>
          <w:numId w:val="74"/>
        </w:numPr>
      </w:pPr>
      <w:r w:rsidRPr="00B4539A">
        <w:t>information about how to withdraw, including where to find a copy of the</w:t>
      </w:r>
      <w:r w:rsidR="00A86E48">
        <w:t xml:space="preserve"> pro</w:t>
      </w:r>
      <w:r w:rsidRPr="00B4539A">
        <w:t>vider’s procedure for withdrawal</w:t>
      </w:r>
    </w:p>
    <w:p w14:paraId="0DD35922" w14:textId="77777777" w:rsidR="00983AE6" w:rsidRPr="00B4539A" w:rsidRDefault="00983AE6" w:rsidP="00A0727A">
      <w:pPr>
        <w:pStyle w:val="ListBullet"/>
        <w:numPr>
          <w:ilvl w:val="0"/>
          <w:numId w:val="74"/>
        </w:numPr>
      </w:pPr>
      <w:r w:rsidRPr="00B4539A">
        <w:t>information on the student’s right to request the correction of information contained in the notice in accordance with the provider’s information handling procedure</w:t>
      </w:r>
    </w:p>
    <w:p w14:paraId="000F2D32" w14:textId="77777777" w:rsidR="00983AE6" w:rsidRPr="00B4539A" w:rsidRDefault="00983AE6" w:rsidP="00A0727A">
      <w:pPr>
        <w:pStyle w:val="ListBullet"/>
        <w:numPr>
          <w:ilvl w:val="0"/>
          <w:numId w:val="74"/>
        </w:numPr>
      </w:pPr>
      <w:r w:rsidRPr="00B4539A">
        <w:t>advice that the student may be required to communicate the student’s agreement for the Secretary to continue to use a VET student loan to pay tuition fees for the course</w:t>
      </w:r>
    </w:p>
    <w:p w14:paraId="61458159" w14:textId="77777777" w:rsidR="00983AE6" w:rsidRPr="00B4539A" w:rsidRDefault="00983AE6" w:rsidP="00A0727A">
      <w:pPr>
        <w:pStyle w:val="ListBullet"/>
        <w:numPr>
          <w:ilvl w:val="0"/>
          <w:numId w:val="74"/>
        </w:numPr>
      </w:pPr>
      <w:r w:rsidRPr="00B4539A">
        <w:t>advice that a VET student loan will not be used to pay the covered fees for a part of the course if the student advises the provider before the census day for the part of the course that the student does not want the tuition fees to be paid using a loan</w:t>
      </w:r>
    </w:p>
    <w:p w14:paraId="4280174A" w14:textId="77777777" w:rsidR="00983AE6" w:rsidRPr="003E0C3A" w:rsidRDefault="00983AE6" w:rsidP="00A0727A">
      <w:pPr>
        <w:pStyle w:val="ListBullet"/>
        <w:numPr>
          <w:ilvl w:val="0"/>
          <w:numId w:val="74"/>
        </w:numPr>
      </w:pPr>
      <w:r w:rsidRPr="003E0C3A">
        <w:t>advice that any VET student loan debt will remain a personal debt until it is repaid to the Commonwealth.</w:t>
      </w:r>
    </w:p>
    <w:p w14:paraId="470A3ED6" w14:textId="1E1C5777" w:rsidR="00983AE6" w:rsidRPr="0003126A" w:rsidRDefault="00983AE6" w:rsidP="00983AE6">
      <w:pPr>
        <w:rPr>
          <w:rStyle w:val="Strong"/>
        </w:rPr>
      </w:pPr>
      <w:r w:rsidRPr="0003126A">
        <w:rPr>
          <w:rStyle w:val="Strong"/>
        </w:rPr>
        <w:t>A sample notice that combines the information required in the VET Student Loan Statement of Covered Fees</w:t>
      </w:r>
      <w:r w:rsidRPr="0003126A" w:rsidDel="00DB6907">
        <w:rPr>
          <w:rStyle w:val="Strong"/>
        </w:rPr>
        <w:t xml:space="preserve"> </w:t>
      </w:r>
      <w:r w:rsidRPr="0003126A">
        <w:rPr>
          <w:rStyle w:val="Strong"/>
        </w:rPr>
        <w:t xml:space="preserve">and the VET Student Loan Fee Notice is at </w:t>
      </w:r>
      <w:hyperlink w:anchor="_Appendix_D_–" w:history="1">
        <w:r w:rsidRPr="0003126A">
          <w:rPr>
            <w:rStyle w:val="Hyperlink"/>
          </w:rPr>
          <w:t>Appendix C</w:t>
        </w:r>
      </w:hyperlink>
      <w:r w:rsidRPr="0003126A">
        <w:rPr>
          <w:rStyle w:val="Strong"/>
        </w:rPr>
        <w:t>. However this sample is provided for guidance only and providers are responsible for ensuring that they meet the legislative requirements.</w:t>
      </w:r>
    </w:p>
    <w:p w14:paraId="6F19601F" w14:textId="6E86266E" w:rsidR="00983AE6" w:rsidRPr="00736F23" w:rsidRDefault="00983AE6" w:rsidP="00983AE6">
      <w:pPr>
        <w:pStyle w:val="Heading3"/>
      </w:pPr>
      <w:bookmarkStart w:id="3345" w:name="_Toc471374553"/>
      <w:bookmarkStart w:id="3346" w:name="_Toc471374554"/>
      <w:bookmarkStart w:id="3347" w:name="_Toc483222941"/>
      <w:bookmarkStart w:id="3348" w:name="_Toc501621251"/>
      <w:bookmarkEnd w:id="3345"/>
      <w:r>
        <w:t>4.11.</w:t>
      </w:r>
      <w:r w:rsidR="00280FFD">
        <w:t>4</w:t>
      </w:r>
      <w:r>
        <w:t xml:space="preserve">   </w:t>
      </w:r>
      <w:r w:rsidRPr="00736F23">
        <w:t>Providing a Commonwealth Assistance Notice</w:t>
      </w:r>
      <w:bookmarkEnd w:id="3346"/>
      <w:bookmarkEnd w:id="3347"/>
      <w:bookmarkEnd w:id="3348"/>
    </w:p>
    <w:p w14:paraId="3B8970EF" w14:textId="77777777" w:rsidR="00983AE6" w:rsidRPr="00736F23" w:rsidRDefault="00983AE6" w:rsidP="00983AE6">
      <w:pPr>
        <w:rPr>
          <w:sz w:val="20"/>
          <w:szCs w:val="20"/>
        </w:rPr>
      </w:pPr>
      <w:r w:rsidRPr="003F42D9">
        <w:t>An approved</w:t>
      </w:r>
      <w:r>
        <w:t xml:space="preserve"> course</w:t>
      </w:r>
      <w:r w:rsidRPr="003F42D9">
        <w:t xml:space="preserve"> provider must give a student </w:t>
      </w:r>
      <w:r>
        <w:t>who</w:t>
      </w:r>
      <w:r w:rsidRPr="003F42D9">
        <w:t xml:space="preserve"> is enrolled in a part of course on the census day for that part of the course</w:t>
      </w:r>
      <w:r>
        <w:t>,</w:t>
      </w:r>
      <w:r w:rsidRPr="003F42D9">
        <w:t xml:space="preserve"> and </w:t>
      </w:r>
      <w:r>
        <w:t>who</w:t>
      </w:r>
      <w:r w:rsidRPr="003F42D9">
        <w:t xml:space="preserve"> has a VET student loan for the course</w:t>
      </w:r>
      <w:r>
        <w:t>,</w:t>
      </w:r>
      <w:r w:rsidRPr="003F42D9">
        <w:t xml:space="preserve"> a notice that is known as a</w:t>
      </w:r>
      <w:r>
        <w:t xml:space="preserve"> ‘</w:t>
      </w:r>
      <w:r w:rsidRPr="003F42D9">
        <w:t>Commonwealth Assistance Notice</w:t>
      </w:r>
      <w:r>
        <w:t>’</w:t>
      </w:r>
      <w:r w:rsidRPr="00736F23">
        <w:rPr>
          <w:sz w:val="20"/>
          <w:szCs w:val="20"/>
        </w:rPr>
        <w:t xml:space="preserve"> </w:t>
      </w:r>
      <w:r w:rsidRPr="0003126A">
        <w:rPr>
          <w:rStyle w:val="ReferenceChar"/>
        </w:rPr>
        <w:t>[Rules s 100]</w:t>
      </w:r>
      <w:r w:rsidRPr="00CE49B4">
        <w:rPr>
          <w:rStyle w:val="ReferencesChar"/>
          <w:rFonts w:asciiTheme="minorHAnsi" w:hAnsiTheme="minorHAnsi" w:cstheme="minorHAnsi"/>
        </w:rPr>
        <w:t>.</w:t>
      </w:r>
      <w:r w:rsidRPr="00736F23">
        <w:rPr>
          <w:rStyle w:val="ReferencesChar"/>
          <w:rFonts w:asciiTheme="minorHAnsi" w:hAnsiTheme="minorHAnsi" w:cstheme="minorHAnsi"/>
          <w:sz w:val="12"/>
          <w:szCs w:val="12"/>
        </w:rPr>
        <w:t xml:space="preserve"> </w:t>
      </w:r>
    </w:p>
    <w:p w14:paraId="22BE5B6A" w14:textId="77777777" w:rsidR="00983AE6" w:rsidRPr="00736F23" w:rsidRDefault="00983AE6" w:rsidP="00983AE6">
      <w:r w:rsidRPr="00736F23">
        <w:t>The notice needs to be given to the student between the census day fo</w:t>
      </w:r>
      <w:r w:rsidR="00EB4CE2">
        <w:t>r the part of the course and 28 </w:t>
      </w:r>
      <w:r w:rsidRPr="00736F23">
        <w:t>days after the census day. A notice can cover more than one part of the course</w:t>
      </w:r>
      <w:r>
        <w:t xml:space="preserve"> (that is include more than one census day)</w:t>
      </w:r>
      <w:r w:rsidRPr="00736F23">
        <w:t xml:space="preserve"> </w:t>
      </w:r>
      <w:r>
        <w:t>provided</w:t>
      </w:r>
      <w:r w:rsidRPr="00736F23">
        <w:t xml:space="preserve"> the information is provided in relation to each part of the course</w:t>
      </w:r>
      <w:r>
        <w:t xml:space="preserve"> and is compliant with the 28-day timeframe in all cases</w:t>
      </w:r>
      <w:r w:rsidRPr="00736F23">
        <w:t>.</w:t>
      </w:r>
    </w:p>
    <w:p w14:paraId="7BC5BC22" w14:textId="77777777" w:rsidR="00983AE6" w:rsidRDefault="00983AE6" w:rsidP="00983AE6">
      <w:r w:rsidRPr="00736F23">
        <w:t>Information to be included in the Commonwealth Assistance Notice is at paragraph 100(4) of the Rules</w:t>
      </w:r>
      <w:r>
        <w:t xml:space="preserve"> and includes the following:</w:t>
      </w:r>
    </w:p>
    <w:p w14:paraId="6BCF6141" w14:textId="77777777" w:rsidR="00983AE6" w:rsidRPr="00351BBE" w:rsidRDefault="00983AE6" w:rsidP="00A0727A">
      <w:pPr>
        <w:pStyle w:val="ListBullet"/>
        <w:numPr>
          <w:ilvl w:val="0"/>
          <w:numId w:val="74"/>
        </w:numPr>
      </w:pPr>
      <w:r w:rsidRPr="00351BBE">
        <w:t>the student’s name, residential address, phone number and email address</w:t>
      </w:r>
    </w:p>
    <w:p w14:paraId="0DD2F307" w14:textId="77777777" w:rsidR="00983AE6" w:rsidRPr="00351BBE" w:rsidRDefault="00983AE6" w:rsidP="00A0727A">
      <w:pPr>
        <w:pStyle w:val="ListBullet"/>
        <w:numPr>
          <w:ilvl w:val="0"/>
          <w:numId w:val="74"/>
        </w:numPr>
      </w:pPr>
      <w:r w:rsidRPr="00351BBE">
        <w:t>the provider’s name</w:t>
      </w:r>
      <w:r>
        <w:t xml:space="preserve"> and </w:t>
      </w:r>
      <w:r w:rsidRPr="00351BBE">
        <w:t>any other business name that the provider uses</w:t>
      </w:r>
    </w:p>
    <w:p w14:paraId="70C2031F" w14:textId="77777777" w:rsidR="00983AE6" w:rsidRPr="00351BBE" w:rsidRDefault="00983AE6" w:rsidP="00A0727A">
      <w:pPr>
        <w:pStyle w:val="ListBullet"/>
        <w:numPr>
          <w:ilvl w:val="0"/>
          <w:numId w:val="74"/>
        </w:numPr>
      </w:pPr>
      <w:r w:rsidRPr="00351BBE">
        <w:t>the date of the notice</w:t>
      </w:r>
    </w:p>
    <w:p w14:paraId="5DFEA336" w14:textId="77777777" w:rsidR="00983AE6" w:rsidRPr="00351BBE" w:rsidRDefault="00983AE6" w:rsidP="00A0727A">
      <w:pPr>
        <w:pStyle w:val="ListBullet"/>
        <w:numPr>
          <w:ilvl w:val="0"/>
          <w:numId w:val="74"/>
        </w:numPr>
      </w:pPr>
      <w:r w:rsidRPr="00351BBE">
        <w:t>the student’s student identification number as issued by the provider</w:t>
      </w:r>
    </w:p>
    <w:p w14:paraId="0CC83EA3" w14:textId="77777777" w:rsidR="00983AE6" w:rsidRPr="00351BBE" w:rsidRDefault="00983AE6" w:rsidP="00A0727A">
      <w:pPr>
        <w:pStyle w:val="ListBullet"/>
        <w:numPr>
          <w:ilvl w:val="0"/>
          <w:numId w:val="74"/>
        </w:numPr>
      </w:pPr>
      <w:r w:rsidRPr="00351BBE">
        <w:t>the student’s Commonwealth Higher Education Student Support Number</w:t>
      </w:r>
      <w:r>
        <w:t xml:space="preserve"> (CHESSN)</w:t>
      </w:r>
    </w:p>
    <w:p w14:paraId="7917BBE4" w14:textId="77777777" w:rsidR="00983AE6" w:rsidRPr="00351BBE" w:rsidRDefault="00983AE6" w:rsidP="00A0727A">
      <w:pPr>
        <w:pStyle w:val="ListBullet"/>
        <w:numPr>
          <w:ilvl w:val="0"/>
          <w:numId w:val="74"/>
        </w:numPr>
      </w:pPr>
      <w:r w:rsidRPr="00351BBE">
        <w:t>the student’s student identifier</w:t>
      </w:r>
      <w:r>
        <w:t xml:space="preserve"> (USI)</w:t>
      </w:r>
    </w:p>
    <w:p w14:paraId="1E902160" w14:textId="77777777" w:rsidR="00983AE6" w:rsidRPr="00351BBE" w:rsidRDefault="00983AE6" w:rsidP="00A0727A">
      <w:pPr>
        <w:pStyle w:val="ListBullet"/>
        <w:numPr>
          <w:ilvl w:val="0"/>
          <w:numId w:val="74"/>
        </w:numPr>
      </w:pPr>
      <w:r w:rsidRPr="00351BBE">
        <w:t>the name of the course</w:t>
      </w:r>
    </w:p>
    <w:p w14:paraId="1A5D29FB" w14:textId="77777777" w:rsidR="00983AE6" w:rsidRPr="00351BBE" w:rsidRDefault="00983AE6" w:rsidP="00A0727A">
      <w:pPr>
        <w:pStyle w:val="ListBullet"/>
        <w:numPr>
          <w:ilvl w:val="0"/>
          <w:numId w:val="74"/>
        </w:numPr>
      </w:pPr>
      <w:r w:rsidRPr="00351BBE">
        <w:t>the name of the part of the course</w:t>
      </w:r>
    </w:p>
    <w:p w14:paraId="03204E51" w14:textId="77777777" w:rsidR="00983AE6" w:rsidRPr="00351BBE" w:rsidRDefault="00983AE6" w:rsidP="00A0727A">
      <w:pPr>
        <w:pStyle w:val="ListBullet"/>
        <w:numPr>
          <w:ilvl w:val="0"/>
          <w:numId w:val="74"/>
        </w:numPr>
      </w:pPr>
      <w:r w:rsidRPr="00351BBE">
        <w:t>an identifying code for the part of the course</w:t>
      </w:r>
    </w:p>
    <w:p w14:paraId="09691B86" w14:textId="77777777" w:rsidR="00983AE6" w:rsidRPr="00351BBE" w:rsidRDefault="00983AE6" w:rsidP="00A0727A">
      <w:pPr>
        <w:pStyle w:val="ListBullet"/>
        <w:numPr>
          <w:ilvl w:val="0"/>
          <w:numId w:val="74"/>
        </w:numPr>
      </w:pPr>
      <w:r w:rsidRPr="00351BBE">
        <w:t>the census day for the part of the course</w:t>
      </w:r>
    </w:p>
    <w:p w14:paraId="20518999" w14:textId="77777777" w:rsidR="00983AE6" w:rsidRPr="00351BBE" w:rsidRDefault="00983AE6" w:rsidP="00A0727A">
      <w:pPr>
        <w:pStyle w:val="ListBullet"/>
        <w:numPr>
          <w:ilvl w:val="0"/>
          <w:numId w:val="74"/>
        </w:numPr>
      </w:pPr>
      <w:r w:rsidRPr="00351BBE">
        <w:t>the student’s tuition fees for the part of the course</w:t>
      </w:r>
    </w:p>
    <w:p w14:paraId="7318799A" w14:textId="77777777" w:rsidR="00983AE6" w:rsidRPr="00351BBE" w:rsidRDefault="00983AE6" w:rsidP="00A0727A">
      <w:pPr>
        <w:pStyle w:val="ListBullet"/>
        <w:numPr>
          <w:ilvl w:val="0"/>
          <w:numId w:val="74"/>
        </w:numPr>
      </w:pPr>
      <w:r w:rsidRPr="00351BBE">
        <w:t>the amount of the student’s tuition fees that are covered by a VET student loan</w:t>
      </w:r>
    </w:p>
    <w:p w14:paraId="0CFE0165" w14:textId="77777777" w:rsidR="00983AE6" w:rsidRPr="00351BBE" w:rsidRDefault="00983AE6" w:rsidP="00A0727A">
      <w:pPr>
        <w:pStyle w:val="ListBullet"/>
        <w:numPr>
          <w:ilvl w:val="0"/>
          <w:numId w:val="74"/>
        </w:numPr>
      </w:pPr>
      <w:r w:rsidRPr="00351BBE">
        <w:t>the amount of HELP debt the student will accrue (which could be up to 120% of the loan amount)</w:t>
      </w:r>
    </w:p>
    <w:p w14:paraId="078845E7" w14:textId="77777777" w:rsidR="00983AE6" w:rsidRPr="00351BBE" w:rsidRDefault="00983AE6" w:rsidP="00A0727A">
      <w:pPr>
        <w:pStyle w:val="ListBullet"/>
        <w:numPr>
          <w:ilvl w:val="0"/>
          <w:numId w:val="74"/>
        </w:numPr>
      </w:pPr>
      <w:r w:rsidRPr="00351BBE">
        <w:t>the amounts of any payments of the tuition fees made by the student</w:t>
      </w:r>
    </w:p>
    <w:p w14:paraId="11EE69F7" w14:textId="77777777" w:rsidR="00983AE6" w:rsidRPr="00736F23" w:rsidRDefault="00983AE6" w:rsidP="00A0727A">
      <w:pPr>
        <w:pStyle w:val="ListBullet"/>
        <w:numPr>
          <w:ilvl w:val="0"/>
          <w:numId w:val="74"/>
        </w:numPr>
      </w:pPr>
      <w:r w:rsidRPr="00351BBE">
        <w:lastRenderedPageBreak/>
        <w:t>information on the student’s right to request the correction of information contained in the notice in accordance with the provider’s information handling procedure.</w:t>
      </w:r>
    </w:p>
    <w:p w14:paraId="0263E14E" w14:textId="77777777" w:rsidR="00983AE6" w:rsidRPr="007555BE" w:rsidRDefault="00983AE6" w:rsidP="00983AE6">
      <w:pPr>
        <w:rPr>
          <w:rStyle w:val="Strong"/>
        </w:rPr>
      </w:pPr>
      <w:r w:rsidRPr="007555BE">
        <w:rPr>
          <w:rStyle w:val="Strong"/>
        </w:rPr>
        <w:t xml:space="preserve">A sample notice for the Commonwealth Assistance Notice is at </w:t>
      </w:r>
      <w:hyperlink w:anchor="_Appendix_E_–" w:history="1">
        <w:r w:rsidRPr="007555BE">
          <w:rPr>
            <w:rStyle w:val="Hyperlink"/>
          </w:rPr>
          <w:t>Appendix D</w:t>
        </w:r>
      </w:hyperlink>
      <w:r w:rsidRPr="007555BE">
        <w:rPr>
          <w:rStyle w:val="Strong"/>
        </w:rPr>
        <w:t>. However this sample is provided for guidance only and providers are responsible for ensuring that they meet the legislative requirements.</w:t>
      </w:r>
    </w:p>
    <w:p w14:paraId="4CC72622" w14:textId="5EC9AB93" w:rsidR="00983AE6" w:rsidRPr="00736F23" w:rsidRDefault="00983AE6" w:rsidP="00983AE6">
      <w:pPr>
        <w:pStyle w:val="Heading3"/>
      </w:pPr>
      <w:bookmarkStart w:id="3349" w:name="_Toc471374555"/>
      <w:bookmarkStart w:id="3350" w:name="_Toc483222942"/>
      <w:bookmarkStart w:id="3351" w:name="_Toc501621252"/>
      <w:r>
        <w:t>4.11.</w:t>
      </w:r>
      <w:r w:rsidR="00280FFD">
        <w:t>5</w:t>
      </w:r>
      <w:r>
        <w:t xml:space="preserve">   </w:t>
      </w:r>
      <w:r w:rsidRPr="00736F23">
        <w:t>How notices are to be provided</w:t>
      </w:r>
      <w:bookmarkEnd w:id="3349"/>
      <w:bookmarkEnd w:id="3350"/>
      <w:bookmarkEnd w:id="3351"/>
    </w:p>
    <w:p w14:paraId="0F0EB40F" w14:textId="77777777" w:rsidR="00983AE6" w:rsidRPr="00736F23" w:rsidRDefault="00983AE6" w:rsidP="00983AE6">
      <w:r w:rsidRPr="00736F23">
        <w:t xml:space="preserve">The approved </w:t>
      </w:r>
      <w:r>
        <w:t xml:space="preserve">course </w:t>
      </w:r>
      <w:r w:rsidRPr="00736F23">
        <w:t>provider must send the VET Student Loan Fee Notice and the Commonwealth Assistance Notice to:</w:t>
      </w:r>
    </w:p>
    <w:p w14:paraId="421E556D" w14:textId="77777777" w:rsidR="00983AE6" w:rsidRPr="00736F23" w:rsidRDefault="00983AE6" w:rsidP="00A0727A">
      <w:pPr>
        <w:pStyle w:val="ListBullet"/>
        <w:numPr>
          <w:ilvl w:val="0"/>
          <w:numId w:val="74"/>
        </w:numPr>
      </w:pPr>
      <w:r w:rsidRPr="00736F23">
        <w:t>the student’s personal email or</w:t>
      </w:r>
    </w:p>
    <w:p w14:paraId="20C0165C" w14:textId="77777777" w:rsidR="00983AE6" w:rsidRPr="00736F23" w:rsidRDefault="00983AE6" w:rsidP="00A0727A">
      <w:pPr>
        <w:pStyle w:val="ListBullet"/>
        <w:numPr>
          <w:ilvl w:val="0"/>
          <w:numId w:val="74"/>
        </w:numPr>
      </w:pPr>
      <w:r w:rsidRPr="00736F23">
        <w:t>the student</w:t>
      </w:r>
      <w:r>
        <w:t>’</w:t>
      </w:r>
      <w:r w:rsidRPr="00736F23">
        <w:t>s postal address or</w:t>
      </w:r>
    </w:p>
    <w:p w14:paraId="04268026" w14:textId="77777777" w:rsidR="00983AE6" w:rsidRPr="00736F23" w:rsidRDefault="00983AE6" w:rsidP="00A0727A">
      <w:pPr>
        <w:pStyle w:val="ListBullet"/>
        <w:numPr>
          <w:ilvl w:val="0"/>
          <w:numId w:val="74"/>
        </w:numPr>
      </w:pPr>
      <w:r w:rsidRPr="00736F23">
        <w:t>to the student by another method agreed by the student</w:t>
      </w:r>
      <w:r>
        <w:t xml:space="preserve"> </w:t>
      </w:r>
      <w:r w:rsidRPr="007555BE">
        <w:rPr>
          <w:rStyle w:val="ReferenceChar"/>
        </w:rPr>
        <w:t>[Rules s 99(8) and s 100(7)]</w:t>
      </w:r>
      <w:r w:rsidRPr="00736F23">
        <w:t>.</w:t>
      </w:r>
    </w:p>
    <w:p w14:paraId="540ED22C" w14:textId="77777777" w:rsidR="00983AE6" w:rsidRDefault="00983AE6" w:rsidP="00983AE6">
      <w:r w:rsidRPr="00736F23">
        <w:t>Providers should note that a student’s email address issued by the provider or its agent is not considered the student’s personal email address.</w:t>
      </w:r>
    </w:p>
    <w:p w14:paraId="2EEC124D" w14:textId="42CF11E7" w:rsidR="00983AE6" w:rsidRPr="00736F23" w:rsidRDefault="00572874" w:rsidP="00983AE6">
      <w:pPr>
        <w:pStyle w:val="Heading2"/>
      </w:pPr>
      <w:bookmarkStart w:id="3352" w:name="_Retaining_information_and"/>
      <w:bookmarkStart w:id="3353" w:name="_Toc471374556"/>
      <w:bookmarkStart w:id="3354" w:name="_Toc477960034"/>
      <w:bookmarkStart w:id="3355" w:name="_Toc483222943"/>
      <w:bookmarkStart w:id="3356" w:name="_Toc501621253"/>
      <w:bookmarkEnd w:id="3352"/>
      <w:r>
        <w:t>4.12 Retaining</w:t>
      </w:r>
      <w:r w:rsidR="00983AE6" w:rsidRPr="00736F23">
        <w:t xml:space="preserve"> information and documents</w:t>
      </w:r>
      <w:bookmarkEnd w:id="3353"/>
      <w:bookmarkEnd w:id="3354"/>
      <w:bookmarkEnd w:id="3355"/>
      <w:bookmarkEnd w:id="3356"/>
    </w:p>
    <w:p w14:paraId="3186EF76" w14:textId="77777777" w:rsidR="00983AE6" w:rsidRDefault="00983AE6" w:rsidP="00983AE6">
      <w:pPr>
        <w:rPr>
          <w:rStyle w:val="ReferencesChar"/>
          <w:rFonts w:asciiTheme="minorHAnsi" w:hAnsiTheme="minorHAnsi" w:cstheme="minorHAnsi"/>
        </w:rPr>
      </w:pPr>
      <w:r w:rsidRPr="00736F23">
        <w:t xml:space="preserve">An approved </w:t>
      </w:r>
      <w:r>
        <w:t xml:space="preserve">course </w:t>
      </w:r>
      <w:r w:rsidRPr="00736F23">
        <w:t>provider must retain document</w:t>
      </w:r>
      <w:r>
        <w:t>s</w:t>
      </w:r>
      <w:r w:rsidRPr="00736F23">
        <w:t xml:space="preserve"> and information related to the operation of the Act and the Rules for 7 years or as otherwise specified in the Rules</w:t>
      </w:r>
      <w:r>
        <w:t xml:space="preserve"> </w:t>
      </w:r>
      <w:r w:rsidRPr="00FB00EE">
        <w:rPr>
          <w:rStyle w:val="ReferenceChar"/>
        </w:rPr>
        <w:t>[Act s 51]</w:t>
      </w:r>
      <w:r w:rsidRPr="00736F23">
        <w:rPr>
          <w:rStyle w:val="ReferencesChar"/>
          <w:rFonts w:asciiTheme="minorHAnsi" w:hAnsiTheme="minorHAnsi" w:cstheme="minorHAnsi"/>
          <w:sz w:val="20"/>
          <w:szCs w:val="20"/>
        </w:rPr>
        <w:t>.</w:t>
      </w:r>
      <w:r w:rsidRPr="00736F23">
        <w:rPr>
          <w:rStyle w:val="ReferencesChar"/>
          <w:rFonts w:asciiTheme="minorHAnsi" w:hAnsiTheme="minorHAnsi" w:cstheme="minorHAnsi"/>
          <w:sz w:val="12"/>
          <w:szCs w:val="12"/>
        </w:rPr>
        <w:t xml:space="preserve">  </w:t>
      </w:r>
      <w:r w:rsidRPr="007555BE">
        <w:t>The Rules provide that the following information and documents must be retained for 5 years</w:t>
      </w:r>
      <w:r>
        <w:rPr>
          <w:rStyle w:val="ReferencesChar"/>
          <w:rFonts w:asciiTheme="minorHAnsi" w:hAnsiTheme="minorHAnsi" w:cstheme="minorHAnsi"/>
        </w:rPr>
        <w:t xml:space="preserve"> </w:t>
      </w:r>
      <w:r w:rsidRPr="00FB00EE">
        <w:rPr>
          <w:rStyle w:val="ReferenceChar"/>
        </w:rPr>
        <w:t>[Rules s 105]</w:t>
      </w:r>
      <w:r w:rsidRPr="00FB00EE">
        <w:t>:</w:t>
      </w:r>
    </w:p>
    <w:p w14:paraId="209D5364" w14:textId="77777777" w:rsidR="00983AE6" w:rsidRPr="00907A50" w:rsidRDefault="00983AE6" w:rsidP="00A0727A">
      <w:pPr>
        <w:pStyle w:val="ListBullet"/>
        <w:numPr>
          <w:ilvl w:val="0"/>
          <w:numId w:val="74"/>
        </w:numPr>
      </w:pPr>
      <w:r w:rsidRPr="00907A50">
        <w:t>the information provided to a student under section 98 before the student</w:t>
      </w:r>
      <w:r>
        <w:t xml:space="preserve"> enrolled in an approved course</w:t>
      </w:r>
    </w:p>
    <w:p w14:paraId="4E94EEC8" w14:textId="77777777" w:rsidR="00983AE6" w:rsidRPr="00907A50" w:rsidRDefault="00983AE6" w:rsidP="00A0727A">
      <w:pPr>
        <w:pStyle w:val="ListBullet"/>
        <w:numPr>
          <w:ilvl w:val="0"/>
          <w:numId w:val="74"/>
        </w:numPr>
      </w:pPr>
      <w:r w:rsidRPr="00907A50">
        <w:t>documents obtained or assessments undertaken for the purposes of determining a student’s academic sui</w:t>
      </w:r>
      <w:r>
        <w:t>tability</w:t>
      </w:r>
    </w:p>
    <w:p w14:paraId="42994520" w14:textId="77777777" w:rsidR="00983AE6" w:rsidRPr="00907A50" w:rsidRDefault="00983AE6" w:rsidP="00A0727A">
      <w:pPr>
        <w:pStyle w:val="ListBullet"/>
        <w:numPr>
          <w:ilvl w:val="0"/>
          <w:numId w:val="74"/>
        </w:numPr>
      </w:pPr>
      <w:r w:rsidRPr="00907A50">
        <w:t>records of the student’s enrolment, including the day and time the student enrols in the</w:t>
      </w:r>
      <w:r>
        <w:t xml:space="preserve"> course or a part of the course</w:t>
      </w:r>
    </w:p>
    <w:p w14:paraId="0CFDA7A2" w14:textId="77777777" w:rsidR="00983AE6" w:rsidRPr="00907A50" w:rsidRDefault="00983AE6" w:rsidP="00A0727A">
      <w:pPr>
        <w:pStyle w:val="ListBullet"/>
        <w:numPr>
          <w:ilvl w:val="0"/>
          <w:numId w:val="74"/>
        </w:numPr>
      </w:pPr>
      <w:r w:rsidRPr="00907A50">
        <w:t>information and documents collected for the purposes of, or in relation to, an application by a student for a VET stu</w:t>
      </w:r>
      <w:r>
        <w:t>dent loan</w:t>
      </w:r>
    </w:p>
    <w:p w14:paraId="7A149E81" w14:textId="77777777" w:rsidR="00983AE6" w:rsidRPr="00907A50" w:rsidRDefault="00983AE6" w:rsidP="00A0727A">
      <w:pPr>
        <w:pStyle w:val="ListBullet"/>
        <w:numPr>
          <w:ilvl w:val="0"/>
          <w:numId w:val="74"/>
        </w:numPr>
      </w:pPr>
      <w:r>
        <w:t>i</w:t>
      </w:r>
      <w:r w:rsidRPr="00907A50">
        <w:t>f applicable, the day and time the student gives the provider an app</w:t>
      </w:r>
      <w:r>
        <w:t>lication for a VET student loan</w:t>
      </w:r>
    </w:p>
    <w:p w14:paraId="0411C4F6" w14:textId="77777777" w:rsidR="00983AE6" w:rsidRPr="00907A50" w:rsidRDefault="00983AE6" w:rsidP="00A0727A">
      <w:pPr>
        <w:pStyle w:val="ListBullet"/>
        <w:numPr>
          <w:ilvl w:val="0"/>
          <w:numId w:val="74"/>
        </w:numPr>
      </w:pPr>
      <w:r w:rsidRPr="00907A50">
        <w:t>all correspondence between the provider and the student (or the student’s parent or guardian) in relation to the course, including noti</w:t>
      </w:r>
      <w:r>
        <w:t>ces issued to the student</w:t>
      </w:r>
    </w:p>
    <w:p w14:paraId="38BDBBDA" w14:textId="77777777" w:rsidR="00983AE6" w:rsidRPr="00907A50" w:rsidRDefault="00983AE6" w:rsidP="00A0727A">
      <w:pPr>
        <w:pStyle w:val="ListBullet"/>
        <w:numPr>
          <w:ilvl w:val="0"/>
          <w:numId w:val="74"/>
        </w:numPr>
      </w:pPr>
      <w:r w:rsidRPr="00907A50">
        <w:t>records of each use of the</w:t>
      </w:r>
      <w:r>
        <w:t xml:space="preserve"> provider’s grievance procedure</w:t>
      </w:r>
    </w:p>
    <w:p w14:paraId="61DC73A8" w14:textId="77777777" w:rsidR="00983AE6" w:rsidRPr="00907A50" w:rsidRDefault="00983AE6" w:rsidP="00A0727A">
      <w:pPr>
        <w:pStyle w:val="ListBullet"/>
        <w:numPr>
          <w:ilvl w:val="0"/>
          <w:numId w:val="74"/>
        </w:numPr>
      </w:pPr>
      <w:r w:rsidRPr="00907A50">
        <w:t>the census days and tu</w:t>
      </w:r>
      <w:r>
        <w:t>ition fees for approved courses</w:t>
      </w:r>
    </w:p>
    <w:p w14:paraId="614DEF96" w14:textId="77777777" w:rsidR="00983AE6" w:rsidRPr="00907A50" w:rsidRDefault="00983AE6" w:rsidP="00A0727A">
      <w:pPr>
        <w:pStyle w:val="ListBullet"/>
        <w:numPr>
          <w:ilvl w:val="0"/>
          <w:numId w:val="74"/>
        </w:numPr>
      </w:pPr>
      <w:r w:rsidRPr="00907A50">
        <w:t>a copy of each version of a process or procedure required under this instrument, and the dates when the</w:t>
      </w:r>
      <w:r>
        <w:t xml:space="preserve"> version was current</w:t>
      </w:r>
    </w:p>
    <w:p w14:paraId="05ED3B7E" w14:textId="77777777" w:rsidR="00983AE6" w:rsidRDefault="00983AE6" w:rsidP="00A0727A">
      <w:pPr>
        <w:pStyle w:val="ListBullet"/>
        <w:numPr>
          <w:ilvl w:val="0"/>
          <w:numId w:val="74"/>
        </w:numPr>
      </w:pPr>
      <w:r w:rsidRPr="00907A50">
        <w:t>marketing and promotional material relating to approved courses.</w:t>
      </w:r>
    </w:p>
    <w:p w14:paraId="18C8AEF5" w14:textId="637E1D13" w:rsidR="00983AE6" w:rsidRPr="00414D3D" w:rsidRDefault="00572874" w:rsidP="00983AE6">
      <w:pPr>
        <w:pStyle w:val="Heading2"/>
      </w:pPr>
      <w:bookmarkStart w:id="3357" w:name="_Toc483222944"/>
      <w:bookmarkStart w:id="3358" w:name="_Toc501621254"/>
      <w:r>
        <w:t>4.13 Dealing</w:t>
      </w:r>
      <w:r w:rsidR="00983AE6" w:rsidRPr="00414D3D">
        <w:t xml:space="preserve"> with personal information</w:t>
      </w:r>
      <w:bookmarkEnd w:id="3357"/>
      <w:bookmarkEnd w:id="3358"/>
    </w:p>
    <w:p w14:paraId="65ECAC2B" w14:textId="77777777" w:rsidR="00983AE6" w:rsidRDefault="00983AE6" w:rsidP="00983AE6">
      <w:r w:rsidRPr="007B2A09">
        <w:t>An approved course provider must comply with the Australian Privacy Principles</w:t>
      </w:r>
      <w:r>
        <w:t xml:space="preserve"> (APP)</w:t>
      </w:r>
      <w:r w:rsidRPr="007B2A09">
        <w:t xml:space="preserve"> in relation to personal information obtained for the purposes of th</w:t>
      </w:r>
      <w:r>
        <w:t>e</w:t>
      </w:r>
      <w:r w:rsidRPr="007B2A09">
        <w:t xml:space="preserve"> Act.</w:t>
      </w:r>
      <w:r>
        <w:t xml:space="preserve"> The APPs are set out in the </w:t>
      </w:r>
      <w:r w:rsidR="00EB4CE2">
        <w:rPr>
          <w:i/>
        </w:rPr>
        <w:t>Privacy Act </w:t>
      </w:r>
      <w:r w:rsidRPr="007B2A09">
        <w:rPr>
          <w:i/>
        </w:rPr>
        <w:t>1988</w:t>
      </w:r>
      <w:r>
        <w:t xml:space="preserve"> (</w:t>
      </w:r>
      <w:r w:rsidRPr="00FB00EE">
        <w:rPr>
          <w:rStyle w:val="Strong"/>
        </w:rPr>
        <w:t>Privacy Act</w:t>
      </w:r>
      <w:r>
        <w:t xml:space="preserve">) and deal with the collection and management of personal information </w:t>
      </w:r>
      <w:r w:rsidRPr="00FB00EE">
        <w:rPr>
          <w:rStyle w:val="ReferenceChar"/>
        </w:rPr>
        <w:t>[Act s 54]</w:t>
      </w:r>
      <w:r>
        <w:t>.</w:t>
      </w:r>
    </w:p>
    <w:p w14:paraId="4395CC2E" w14:textId="77777777" w:rsidR="00983AE6" w:rsidRPr="007B2A09" w:rsidRDefault="00983AE6" w:rsidP="00983AE6">
      <w:r>
        <w:t>Where a provider fails to comply with the APPs, this</w:t>
      </w:r>
      <w:r w:rsidRPr="007B2A09">
        <w:t xml:space="preserve"> constitutes an act or practice involving an interference with the privacy of the individual concerned for the purposes of</w:t>
      </w:r>
      <w:r>
        <w:t xml:space="preserve"> section 13 of the Privacy Act</w:t>
      </w:r>
      <w:r w:rsidRPr="007B2A09">
        <w:t>.</w:t>
      </w:r>
      <w:r>
        <w:t xml:space="preserve"> This</w:t>
      </w:r>
      <w:r w:rsidRPr="007B2A09">
        <w:t xml:space="preserve"> may be the subject of a complaint under section 36 of </w:t>
      </w:r>
      <w:r>
        <w:t>the Privacy Act</w:t>
      </w:r>
      <w:r w:rsidRPr="007B2A09">
        <w:t>.</w:t>
      </w:r>
    </w:p>
    <w:p w14:paraId="64C6E364" w14:textId="77777777" w:rsidR="00983AE6" w:rsidRDefault="00983AE6" w:rsidP="00983AE6">
      <w:r w:rsidRPr="007B2A09">
        <w:lastRenderedPageBreak/>
        <w:t>The provider must have a procedure under which a student enrolled with the provider may apply to the provider for, and receive, a copy of personal information that the provider holds in relation to the student.</w:t>
      </w:r>
    </w:p>
    <w:p w14:paraId="3D0E55A2" w14:textId="7B2A05FF" w:rsidR="00983AE6" w:rsidRPr="00907A50" w:rsidRDefault="00983AE6" w:rsidP="00983AE6">
      <w:r>
        <w:t>Provider</w:t>
      </w:r>
      <w:r w:rsidR="002478CE">
        <w:t>s</w:t>
      </w:r>
      <w:r>
        <w:t xml:space="preserve"> should note that there are offences under the Act in relation to the misuse of personal information. See </w:t>
      </w:r>
      <w:hyperlink w:anchor="_Toc339446938" w:history="1">
        <w:r w:rsidRPr="00983AE6">
          <w:rPr>
            <w:rStyle w:val="Hyperlink"/>
          </w:rPr>
          <w:t>Appendix A</w:t>
        </w:r>
      </w:hyperlink>
      <w:r>
        <w:t xml:space="preserve"> of this Manual for further information </w:t>
      </w:r>
      <w:r w:rsidRPr="00FB00EE">
        <w:rPr>
          <w:rStyle w:val="ReferenceChar"/>
        </w:rPr>
        <w:t>[Division 2, Part 9 of the Act]</w:t>
      </w:r>
      <w:r w:rsidRPr="00FB00EE">
        <w:t>.</w:t>
      </w:r>
    </w:p>
    <w:p w14:paraId="69F80DAD" w14:textId="77777777" w:rsidR="00983AE6" w:rsidRPr="00C33B53" w:rsidRDefault="00983AE6" w:rsidP="009145C8">
      <w:pPr>
        <w:pStyle w:val="Heading5"/>
      </w:pPr>
      <w:r w:rsidRPr="00C33B53">
        <w:t>Use of information</w:t>
      </w:r>
    </w:p>
    <w:p w14:paraId="6C31A047" w14:textId="77777777" w:rsidR="00983AE6" w:rsidRDefault="00983AE6" w:rsidP="00983AE6">
      <w:r>
        <w:t xml:space="preserve">Under the Act, each of the following VET officers may use VET information in his or her capacity as a VET officer </w:t>
      </w:r>
      <w:r w:rsidRPr="00FB00EE">
        <w:rPr>
          <w:rStyle w:val="ReferenceChar"/>
        </w:rPr>
        <w:t>[Act s 92(1)]</w:t>
      </w:r>
      <w:r>
        <w:t>:</w:t>
      </w:r>
    </w:p>
    <w:p w14:paraId="46DEBC5A" w14:textId="77777777" w:rsidR="00983AE6" w:rsidRDefault="00983AE6" w:rsidP="00A0727A">
      <w:pPr>
        <w:pStyle w:val="ListBullet"/>
        <w:numPr>
          <w:ilvl w:val="0"/>
          <w:numId w:val="74"/>
        </w:numPr>
      </w:pPr>
      <w:r>
        <w:t>an officer of a Tertiary Admission Centre</w:t>
      </w:r>
    </w:p>
    <w:p w14:paraId="69ECAC93" w14:textId="77777777" w:rsidR="00983AE6" w:rsidRDefault="00983AE6" w:rsidP="00A0727A">
      <w:pPr>
        <w:pStyle w:val="ListBullet"/>
        <w:numPr>
          <w:ilvl w:val="0"/>
          <w:numId w:val="74"/>
        </w:numPr>
      </w:pPr>
      <w:r>
        <w:t>an officer of an approved course provider</w:t>
      </w:r>
    </w:p>
    <w:p w14:paraId="37A5621D" w14:textId="77777777" w:rsidR="00983AE6" w:rsidRDefault="00983AE6" w:rsidP="00A0727A">
      <w:pPr>
        <w:pStyle w:val="ListBullet"/>
        <w:numPr>
          <w:ilvl w:val="0"/>
          <w:numId w:val="74"/>
        </w:numPr>
      </w:pPr>
      <w:r>
        <w:t>an officer of a tuition assurance scheme operator that is a party to an approved tuition assurance arrangement</w:t>
      </w:r>
    </w:p>
    <w:p w14:paraId="5EB1BCCA" w14:textId="77777777" w:rsidR="00983AE6" w:rsidRDefault="00983AE6" w:rsidP="00A0727A">
      <w:pPr>
        <w:pStyle w:val="ListBullet"/>
        <w:numPr>
          <w:ilvl w:val="0"/>
          <w:numId w:val="74"/>
        </w:numPr>
      </w:pPr>
      <w:r>
        <w:t>an officer of an approved external dispute resolution scheme operator.</w:t>
      </w:r>
    </w:p>
    <w:p w14:paraId="63A46B72" w14:textId="77777777" w:rsidR="00983AE6" w:rsidRPr="00C75CFC" w:rsidRDefault="00983AE6" w:rsidP="00983AE6">
      <w:pPr>
        <w:rPr>
          <w:color w:val="3333FF"/>
          <w:sz w:val="16"/>
        </w:rPr>
      </w:pPr>
      <w:r>
        <w:t xml:space="preserve">Further a VET officer may disclose VET information to another VET officer if the officer believes on reasonable grounds that the disclosure is reasonably necessary for the purposes of the exercise of the powers, or the performance of the functions or duties, in relation to this Act </w:t>
      </w:r>
      <w:r w:rsidRPr="00FB00EE">
        <w:rPr>
          <w:rStyle w:val="ReferenceChar"/>
        </w:rPr>
        <w:t>[Act s 92(2)]</w:t>
      </w:r>
      <w:r w:rsidRPr="002A06B1">
        <w:t>.</w:t>
      </w:r>
      <w:r w:rsidRPr="00C75CFC">
        <w:rPr>
          <w:color w:val="3333FF"/>
          <w:sz w:val="16"/>
        </w:rPr>
        <w:t xml:space="preserve"> </w:t>
      </w:r>
    </w:p>
    <w:p w14:paraId="35BADAFE" w14:textId="3E1148F6" w:rsidR="00983AE6" w:rsidRPr="00FB00EE" w:rsidRDefault="00983AE6" w:rsidP="00983AE6">
      <w:pPr>
        <w:rPr>
          <w:rStyle w:val="Strong"/>
        </w:rPr>
      </w:pPr>
      <w:r w:rsidRPr="00FB00EE">
        <w:rPr>
          <w:rStyle w:val="Strong"/>
        </w:rPr>
        <w:t>Providers should note that Commonwealth officers and the Secretary have further, broader powers to use or disclose VET information (see sections 91, 93, 94, 95 of the Act</w:t>
      </w:r>
      <w:r w:rsidR="00883788">
        <w:rPr>
          <w:rStyle w:val="Strong"/>
        </w:rPr>
        <w:t>)</w:t>
      </w:r>
      <w:r w:rsidRPr="00FB00EE">
        <w:rPr>
          <w:rStyle w:val="Strong"/>
        </w:rPr>
        <w:t>.</w:t>
      </w:r>
    </w:p>
    <w:p w14:paraId="10364D58" w14:textId="1B045D8B" w:rsidR="00983AE6" w:rsidRPr="00736F23" w:rsidRDefault="00572874" w:rsidP="00983AE6">
      <w:pPr>
        <w:pStyle w:val="Heading2"/>
      </w:pPr>
      <w:bookmarkStart w:id="3359" w:name="_Toc471285754"/>
      <w:bookmarkStart w:id="3360" w:name="_Toc471300375"/>
      <w:bookmarkStart w:id="3361" w:name="_Toc471305874"/>
      <w:bookmarkStart w:id="3362" w:name="_Toc471306474"/>
      <w:bookmarkStart w:id="3363" w:name="_Toc471306990"/>
      <w:bookmarkStart w:id="3364" w:name="_Toc471307763"/>
      <w:bookmarkStart w:id="3365" w:name="_Toc471368912"/>
      <w:bookmarkStart w:id="3366" w:name="_Toc471374262"/>
      <w:bookmarkStart w:id="3367" w:name="_Toc471374557"/>
      <w:bookmarkStart w:id="3368" w:name="_Toc474924638"/>
      <w:bookmarkStart w:id="3369" w:name="_Toc475444248"/>
      <w:bookmarkStart w:id="3370" w:name="_Toc475444339"/>
      <w:bookmarkStart w:id="3371" w:name="_Toc477425524"/>
      <w:bookmarkStart w:id="3372" w:name="_Toc477425856"/>
      <w:bookmarkStart w:id="3373" w:name="_Toc477505894"/>
      <w:bookmarkStart w:id="3374" w:name="_Toc477960035"/>
      <w:bookmarkStart w:id="3375" w:name="_Toc477960417"/>
      <w:bookmarkStart w:id="3376" w:name="_Toc477960857"/>
      <w:bookmarkStart w:id="3377" w:name="_Toc477961296"/>
      <w:bookmarkStart w:id="3378" w:name="_Toc477961779"/>
      <w:bookmarkStart w:id="3379" w:name="_Toc477962266"/>
      <w:bookmarkStart w:id="3380" w:name="_Toc477962753"/>
      <w:bookmarkStart w:id="3381" w:name="_Toc477963239"/>
      <w:bookmarkStart w:id="3382" w:name="_Toc477963735"/>
      <w:bookmarkStart w:id="3383" w:name="_Toc478042937"/>
      <w:bookmarkStart w:id="3384" w:name="_Toc478367188"/>
      <w:bookmarkStart w:id="3385" w:name="_Toc479083800"/>
      <w:bookmarkStart w:id="3386" w:name="_Toc474924639"/>
      <w:bookmarkStart w:id="3387" w:name="_Toc475444249"/>
      <w:bookmarkStart w:id="3388" w:name="_Toc475444340"/>
      <w:bookmarkStart w:id="3389" w:name="_Toc477425525"/>
      <w:bookmarkStart w:id="3390" w:name="_Toc477425857"/>
      <w:bookmarkStart w:id="3391" w:name="_Toc477505895"/>
      <w:bookmarkStart w:id="3392" w:name="_Toc477960036"/>
      <w:bookmarkStart w:id="3393" w:name="_Toc477960418"/>
      <w:bookmarkStart w:id="3394" w:name="_Toc477960858"/>
      <w:bookmarkStart w:id="3395" w:name="_Toc477961297"/>
      <w:bookmarkStart w:id="3396" w:name="_Toc477961780"/>
      <w:bookmarkStart w:id="3397" w:name="_Toc477962267"/>
      <w:bookmarkStart w:id="3398" w:name="_Toc477962754"/>
      <w:bookmarkStart w:id="3399" w:name="_Toc477963240"/>
      <w:bookmarkStart w:id="3400" w:name="_Toc477963736"/>
      <w:bookmarkStart w:id="3401" w:name="_Toc478042938"/>
      <w:bookmarkStart w:id="3402" w:name="_Toc478367189"/>
      <w:bookmarkStart w:id="3403" w:name="_Toc479083801"/>
      <w:bookmarkStart w:id="3404" w:name="_Toc474924640"/>
      <w:bookmarkStart w:id="3405" w:name="_Toc475444250"/>
      <w:bookmarkStart w:id="3406" w:name="_Toc475444341"/>
      <w:bookmarkStart w:id="3407" w:name="_Toc477425526"/>
      <w:bookmarkStart w:id="3408" w:name="_Toc477425858"/>
      <w:bookmarkStart w:id="3409" w:name="_Toc477505896"/>
      <w:bookmarkStart w:id="3410" w:name="_Toc477960037"/>
      <w:bookmarkStart w:id="3411" w:name="_Toc477960419"/>
      <w:bookmarkStart w:id="3412" w:name="_Toc477960859"/>
      <w:bookmarkStart w:id="3413" w:name="_Toc477961298"/>
      <w:bookmarkStart w:id="3414" w:name="_Toc477961781"/>
      <w:bookmarkStart w:id="3415" w:name="_Toc477962268"/>
      <w:bookmarkStart w:id="3416" w:name="_Toc477962755"/>
      <w:bookmarkStart w:id="3417" w:name="_Toc477963241"/>
      <w:bookmarkStart w:id="3418" w:name="_Toc477963737"/>
      <w:bookmarkStart w:id="3419" w:name="_Toc478042939"/>
      <w:bookmarkStart w:id="3420" w:name="_Toc478367190"/>
      <w:bookmarkStart w:id="3421" w:name="_Toc479083802"/>
      <w:bookmarkStart w:id="3422" w:name="_Toc474924641"/>
      <w:bookmarkStart w:id="3423" w:name="_Toc475444251"/>
      <w:bookmarkStart w:id="3424" w:name="_Toc475444342"/>
      <w:bookmarkStart w:id="3425" w:name="_Toc477425527"/>
      <w:bookmarkStart w:id="3426" w:name="_Toc477425859"/>
      <w:bookmarkStart w:id="3427" w:name="_Toc477505897"/>
      <w:bookmarkStart w:id="3428" w:name="_Toc477960038"/>
      <w:bookmarkStart w:id="3429" w:name="_Toc477960420"/>
      <w:bookmarkStart w:id="3430" w:name="_Toc477960860"/>
      <w:bookmarkStart w:id="3431" w:name="_Toc477961299"/>
      <w:bookmarkStart w:id="3432" w:name="_Toc477961782"/>
      <w:bookmarkStart w:id="3433" w:name="_Toc477962269"/>
      <w:bookmarkStart w:id="3434" w:name="_Toc477962756"/>
      <w:bookmarkStart w:id="3435" w:name="_Toc477963242"/>
      <w:bookmarkStart w:id="3436" w:name="_Toc477963738"/>
      <w:bookmarkStart w:id="3437" w:name="_Toc478042940"/>
      <w:bookmarkStart w:id="3438" w:name="_Toc478367191"/>
      <w:bookmarkStart w:id="3439" w:name="_Toc479083803"/>
      <w:bookmarkStart w:id="3440" w:name="_Toc474924642"/>
      <w:bookmarkStart w:id="3441" w:name="_Toc475444252"/>
      <w:bookmarkStart w:id="3442" w:name="_Toc475444343"/>
      <w:bookmarkStart w:id="3443" w:name="_Toc477425528"/>
      <w:bookmarkStart w:id="3444" w:name="_Toc477425860"/>
      <w:bookmarkStart w:id="3445" w:name="_Toc477505898"/>
      <w:bookmarkStart w:id="3446" w:name="_Toc477960039"/>
      <w:bookmarkStart w:id="3447" w:name="_Toc477960421"/>
      <w:bookmarkStart w:id="3448" w:name="_Toc477960861"/>
      <w:bookmarkStart w:id="3449" w:name="_Toc477961300"/>
      <w:bookmarkStart w:id="3450" w:name="_Toc477961783"/>
      <w:bookmarkStart w:id="3451" w:name="_Toc477962270"/>
      <w:bookmarkStart w:id="3452" w:name="_Toc477962757"/>
      <w:bookmarkStart w:id="3453" w:name="_Toc477963243"/>
      <w:bookmarkStart w:id="3454" w:name="_Toc477963739"/>
      <w:bookmarkStart w:id="3455" w:name="_Toc478042941"/>
      <w:bookmarkStart w:id="3456" w:name="_Toc478367192"/>
      <w:bookmarkStart w:id="3457" w:name="_Toc479083804"/>
      <w:bookmarkStart w:id="3458" w:name="_Toc474924643"/>
      <w:bookmarkStart w:id="3459" w:name="_Toc475444253"/>
      <w:bookmarkStart w:id="3460" w:name="_Toc475444344"/>
      <w:bookmarkStart w:id="3461" w:name="_Toc477425529"/>
      <w:bookmarkStart w:id="3462" w:name="_Toc477425861"/>
      <w:bookmarkStart w:id="3463" w:name="_Toc477505899"/>
      <w:bookmarkStart w:id="3464" w:name="_Toc477960040"/>
      <w:bookmarkStart w:id="3465" w:name="_Toc477960422"/>
      <w:bookmarkStart w:id="3466" w:name="_Toc477960862"/>
      <w:bookmarkStart w:id="3467" w:name="_Toc477961301"/>
      <w:bookmarkStart w:id="3468" w:name="_Toc477961784"/>
      <w:bookmarkStart w:id="3469" w:name="_Toc477962271"/>
      <w:bookmarkStart w:id="3470" w:name="_Toc477962758"/>
      <w:bookmarkStart w:id="3471" w:name="_Toc477963244"/>
      <w:bookmarkStart w:id="3472" w:name="_Toc477963740"/>
      <w:bookmarkStart w:id="3473" w:name="_Toc478042942"/>
      <w:bookmarkStart w:id="3474" w:name="_Toc478367193"/>
      <w:bookmarkStart w:id="3475" w:name="_Toc479083805"/>
      <w:bookmarkStart w:id="3476" w:name="_Toc474924644"/>
      <w:bookmarkStart w:id="3477" w:name="_Toc475444254"/>
      <w:bookmarkStart w:id="3478" w:name="_Toc475444345"/>
      <w:bookmarkStart w:id="3479" w:name="_Toc477425530"/>
      <w:bookmarkStart w:id="3480" w:name="_Toc477425862"/>
      <w:bookmarkStart w:id="3481" w:name="_Toc477505900"/>
      <w:bookmarkStart w:id="3482" w:name="_Toc477960041"/>
      <w:bookmarkStart w:id="3483" w:name="_Toc477960423"/>
      <w:bookmarkStart w:id="3484" w:name="_Toc477960863"/>
      <w:bookmarkStart w:id="3485" w:name="_Toc477961302"/>
      <w:bookmarkStart w:id="3486" w:name="_Toc477961785"/>
      <w:bookmarkStart w:id="3487" w:name="_Toc477962272"/>
      <w:bookmarkStart w:id="3488" w:name="_Toc477962759"/>
      <w:bookmarkStart w:id="3489" w:name="_Toc477963245"/>
      <w:bookmarkStart w:id="3490" w:name="_Toc477963741"/>
      <w:bookmarkStart w:id="3491" w:name="_Toc478042943"/>
      <w:bookmarkStart w:id="3492" w:name="_Toc478367194"/>
      <w:bookmarkStart w:id="3493" w:name="_Toc479083806"/>
      <w:bookmarkStart w:id="3494" w:name="_Toc474924645"/>
      <w:bookmarkStart w:id="3495" w:name="_Toc475444255"/>
      <w:bookmarkStart w:id="3496" w:name="_Toc475444346"/>
      <w:bookmarkStart w:id="3497" w:name="_Toc477425531"/>
      <w:bookmarkStart w:id="3498" w:name="_Toc477425863"/>
      <w:bookmarkStart w:id="3499" w:name="_Toc477505901"/>
      <w:bookmarkStart w:id="3500" w:name="_Toc477960042"/>
      <w:bookmarkStart w:id="3501" w:name="_Toc477960424"/>
      <w:bookmarkStart w:id="3502" w:name="_Toc477960864"/>
      <w:bookmarkStart w:id="3503" w:name="_Toc477961303"/>
      <w:bookmarkStart w:id="3504" w:name="_Toc477961786"/>
      <w:bookmarkStart w:id="3505" w:name="_Toc477962273"/>
      <w:bookmarkStart w:id="3506" w:name="_Toc477962760"/>
      <w:bookmarkStart w:id="3507" w:name="_Toc477963246"/>
      <w:bookmarkStart w:id="3508" w:name="_Toc477963742"/>
      <w:bookmarkStart w:id="3509" w:name="_Toc478042944"/>
      <w:bookmarkStart w:id="3510" w:name="_Toc478367195"/>
      <w:bookmarkStart w:id="3511" w:name="_Toc479083807"/>
      <w:bookmarkStart w:id="3512" w:name="_Toc474924646"/>
      <w:bookmarkStart w:id="3513" w:name="_Toc475444256"/>
      <w:bookmarkStart w:id="3514" w:name="_Toc475444347"/>
      <w:bookmarkStart w:id="3515" w:name="_Toc477425532"/>
      <w:bookmarkStart w:id="3516" w:name="_Toc477425864"/>
      <w:bookmarkStart w:id="3517" w:name="_Toc477505902"/>
      <w:bookmarkStart w:id="3518" w:name="_Toc477960043"/>
      <w:bookmarkStart w:id="3519" w:name="_Toc477960425"/>
      <w:bookmarkStart w:id="3520" w:name="_Toc477960865"/>
      <w:bookmarkStart w:id="3521" w:name="_Toc477961304"/>
      <w:bookmarkStart w:id="3522" w:name="_Toc477961787"/>
      <w:bookmarkStart w:id="3523" w:name="_Toc477962274"/>
      <w:bookmarkStart w:id="3524" w:name="_Toc477962761"/>
      <w:bookmarkStart w:id="3525" w:name="_Toc477963247"/>
      <w:bookmarkStart w:id="3526" w:name="_Toc477963743"/>
      <w:bookmarkStart w:id="3527" w:name="_Toc478042945"/>
      <w:bookmarkStart w:id="3528" w:name="_Toc478367196"/>
      <w:bookmarkStart w:id="3529" w:name="_Toc479083808"/>
      <w:bookmarkStart w:id="3530" w:name="_Toc474924647"/>
      <w:bookmarkStart w:id="3531" w:name="_Toc475444257"/>
      <w:bookmarkStart w:id="3532" w:name="_Toc475444348"/>
      <w:bookmarkStart w:id="3533" w:name="_Toc477425533"/>
      <w:bookmarkStart w:id="3534" w:name="_Toc477425865"/>
      <w:bookmarkStart w:id="3535" w:name="_Toc477505903"/>
      <w:bookmarkStart w:id="3536" w:name="_Toc477960044"/>
      <w:bookmarkStart w:id="3537" w:name="_Toc477960426"/>
      <w:bookmarkStart w:id="3538" w:name="_Toc477960866"/>
      <w:bookmarkStart w:id="3539" w:name="_Toc477961305"/>
      <w:bookmarkStart w:id="3540" w:name="_Toc477961788"/>
      <w:bookmarkStart w:id="3541" w:name="_Toc477962275"/>
      <w:bookmarkStart w:id="3542" w:name="_Toc477962762"/>
      <w:bookmarkStart w:id="3543" w:name="_Toc477963248"/>
      <w:bookmarkStart w:id="3544" w:name="_Toc477963744"/>
      <w:bookmarkStart w:id="3545" w:name="_Toc478042946"/>
      <w:bookmarkStart w:id="3546" w:name="_Toc478367197"/>
      <w:bookmarkStart w:id="3547" w:name="_Toc479083809"/>
      <w:bookmarkStart w:id="3548" w:name="_Toc474924648"/>
      <w:bookmarkStart w:id="3549" w:name="_Toc475444258"/>
      <w:bookmarkStart w:id="3550" w:name="_Toc475444349"/>
      <w:bookmarkStart w:id="3551" w:name="_Toc477425534"/>
      <w:bookmarkStart w:id="3552" w:name="_Toc477425866"/>
      <w:bookmarkStart w:id="3553" w:name="_Toc477505904"/>
      <w:bookmarkStart w:id="3554" w:name="_Toc477960045"/>
      <w:bookmarkStart w:id="3555" w:name="_Toc477960427"/>
      <w:bookmarkStart w:id="3556" w:name="_Toc477960867"/>
      <w:bookmarkStart w:id="3557" w:name="_Toc477961306"/>
      <w:bookmarkStart w:id="3558" w:name="_Toc477961789"/>
      <w:bookmarkStart w:id="3559" w:name="_Toc477962276"/>
      <w:bookmarkStart w:id="3560" w:name="_Toc477962763"/>
      <w:bookmarkStart w:id="3561" w:name="_Toc477963249"/>
      <w:bookmarkStart w:id="3562" w:name="_Toc477963745"/>
      <w:bookmarkStart w:id="3563" w:name="_Toc478042947"/>
      <w:bookmarkStart w:id="3564" w:name="_Toc478367198"/>
      <w:bookmarkStart w:id="3565" w:name="_Toc479083810"/>
      <w:bookmarkStart w:id="3566" w:name="_Toc471305876"/>
      <w:bookmarkStart w:id="3567" w:name="_Toc471306476"/>
      <w:bookmarkStart w:id="3568" w:name="_Toc471306992"/>
      <w:bookmarkStart w:id="3569" w:name="_Toc471307765"/>
      <w:bookmarkStart w:id="3570" w:name="_Toc471368914"/>
      <w:bookmarkStart w:id="3571" w:name="_Toc471374264"/>
      <w:bookmarkStart w:id="3572" w:name="_Toc471374559"/>
      <w:bookmarkStart w:id="3573" w:name="_Toc471300377"/>
      <w:bookmarkStart w:id="3574" w:name="_Toc471305877"/>
      <w:bookmarkStart w:id="3575" w:name="_Toc471306477"/>
      <w:bookmarkStart w:id="3576" w:name="_Toc471306993"/>
      <w:bookmarkStart w:id="3577" w:name="_Toc471307766"/>
      <w:bookmarkStart w:id="3578" w:name="_Toc471368915"/>
      <w:bookmarkStart w:id="3579" w:name="_Toc471374265"/>
      <w:bookmarkStart w:id="3580" w:name="_Toc471374560"/>
      <w:bookmarkStart w:id="3581" w:name="_Toc471300378"/>
      <w:bookmarkStart w:id="3582" w:name="_Toc471305878"/>
      <w:bookmarkStart w:id="3583" w:name="_Toc471306478"/>
      <w:bookmarkStart w:id="3584" w:name="_Toc471306994"/>
      <w:bookmarkStart w:id="3585" w:name="_Toc471307767"/>
      <w:bookmarkStart w:id="3586" w:name="_Toc471368916"/>
      <w:bookmarkStart w:id="3587" w:name="_Toc471374266"/>
      <w:bookmarkStart w:id="3588" w:name="_Toc471374561"/>
      <w:bookmarkStart w:id="3589" w:name="_Toc471285757"/>
      <w:bookmarkStart w:id="3590" w:name="_Toc471300379"/>
      <w:bookmarkStart w:id="3591" w:name="_Toc471305879"/>
      <w:bookmarkStart w:id="3592" w:name="_Toc471306479"/>
      <w:bookmarkStart w:id="3593" w:name="_Toc471306995"/>
      <w:bookmarkStart w:id="3594" w:name="_Toc471307768"/>
      <w:bookmarkStart w:id="3595" w:name="_Toc471368917"/>
      <w:bookmarkStart w:id="3596" w:name="_Toc471374267"/>
      <w:bookmarkStart w:id="3597" w:name="_Toc471374562"/>
      <w:bookmarkStart w:id="3598" w:name="_Toc471285758"/>
      <w:bookmarkStart w:id="3599" w:name="_Toc471300380"/>
      <w:bookmarkStart w:id="3600" w:name="_Toc471305880"/>
      <w:bookmarkStart w:id="3601" w:name="_Toc471306480"/>
      <w:bookmarkStart w:id="3602" w:name="_Toc471306996"/>
      <w:bookmarkStart w:id="3603" w:name="_Toc471307769"/>
      <w:bookmarkStart w:id="3604" w:name="_Toc471368918"/>
      <w:bookmarkStart w:id="3605" w:name="_Toc471374268"/>
      <w:bookmarkStart w:id="3606" w:name="_Toc471374563"/>
      <w:bookmarkStart w:id="3607" w:name="_Toc471285759"/>
      <w:bookmarkStart w:id="3608" w:name="_Toc471300381"/>
      <w:bookmarkStart w:id="3609" w:name="_Toc471305881"/>
      <w:bookmarkStart w:id="3610" w:name="_Toc471306481"/>
      <w:bookmarkStart w:id="3611" w:name="_Toc471306997"/>
      <w:bookmarkStart w:id="3612" w:name="_Toc471307770"/>
      <w:bookmarkStart w:id="3613" w:name="_Toc471368919"/>
      <w:bookmarkStart w:id="3614" w:name="_Toc471374269"/>
      <w:bookmarkStart w:id="3615" w:name="_Toc471374564"/>
      <w:bookmarkStart w:id="3616" w:name="_Toc471285760"/>
      <w:bookmarkStart w:id="3617" w:name="_Toc471300382"/>
      <w:bookmarkStart w:id="3618" w:name="_Toc471305882"/>
      <w:bookmarkStart w:id="3619" w:name="_Toc471306482"/>
      <w:bookmarkStart w:id="3620" w:name="_Toc471306998"/>
      <w:bookmarkStart w:id="3621" w:name="_Toc471307771"/>
      <w:bookmarkStart w:id="3622" w:name="_Toc471368920"/>
      <w:bookmarkStart w:id="3623" w:name="_Toc471374270"/>
      <w:bookmarkStart w:id="3624" w:name="_Toc471374565"/>
      <w:bookmarkStart w:id="3625" w:name="_Toc471285761"/>
      <w:bookmarkStart w:id="3626" w:name="_Toc471300383"/>
      <w:bookmarkStart w:id="3627" w:name="_Toc471305883"/>
      <w:bookmarkStart w:id="3628" w:name="_Toc471306483"/>
      <w:bookmarkStart w:id="3629" w:name="_Toc471306999"/>
      <w:bookmarkStart w:id="3630" w:name="_Toc471307772"/>
      <w:bookmarkStart w:id="3631" w:name="_Toc471368921"/>
      <w:bookmarkStart w:id="3632" w:name="_Toc471374271"/>
      <w:bookmarkStart w:id="3633" w:name="_Toc471374566"/>
      <w:bookmarkStart w:id="3634" w:name="_Toc471285762"/>
      <w:bookmarkStart w:id="3635" w:name="_Toc471300384"/>
      <w:bookmarkStart w:id="3636" w:name="_Toc471305884"/>
      <w:bookmarkStart w:id="3637" w:name="_Toc471306484"/>
      <w:bookmarkStart w:id="3638" w:name="_Toc471307000"/>
      <w:bookmarkStart w:id="3639" w:name="_Toc471307773"/>
      <w:bookmarkStart w:id="3640" w:name="_Toc471368922"/>
      <w:bookmarkStart w:id="3641" w:name="_Toc471374272"/>
      <w:bookmarkStart w:id="3642" w:name="_Toc471374567"/>
      <w:bookmarkStart w:id="3643" w:name="_Toc471285763"/>
      <w:bookmarkStart w:id="3644" w:name="_Toc471300385"/>
      <w:bookmarkStart w:id="3645" w:name="_Toc471305885"/>
      <w:bookmarkStart w:id="3646" w:name="_Toc471306485"/>
      <w:bookmarkStart w:id="3647" w:name="_Toc471307001"/>
      <w:bookmarkStart w:id="3648" w:name="_Toc471307774"/>
      <w:bookmarkStart w:id="3649" w:name="_Toc471368923"/>
      <w:bookmarkStart w:id="3650" w:name="_Toc471374273"/>
      <w:bookmarkStart w:id="3651" w:name="_Toc471374568"/>
      <w:bookmarkStart w:id="3652" w:name="_Toc471285764"/>
      <w:bookmarkStart w:id="3653" w:name="_Toc471300386"/>
      <w:bookmarkStart w:id="3654" w:name="_Toc471305886"/>
      <w:bookmarkStart w:id="3655" w:name="_Toc471306486"/>
      <w:bookmarkStart w:id="3656" w:name="_Toc471307002"/>
      <w:bookmarkStart w:id="3657" w:name="_Toc471307775"/>
      <w:bookmarkStart w:id="3658" w:name="_Toc471368924"/>
      <w:bookmarkStart w:id="3659" w:name="_Toc471374274"/>
      <w:bookmarkStart w:id="3660" w:name="_Toc471374569"/>
      <w:bookmarkStart w:id="3661" w:name="_Toc471285765"/>
      <w:bookmarkStart w:id="3662" w:name="_Toc471300387"/>
      <w:bookmarkStart w:id="3663" w:name="_Toc471305887"/>
      <w:bookmarkStart w:id="3664" w:name="_Toc471306487"/>
      <w:bookmarkStart w:id="3665" w:name="_Toc471307003"/>
      <w:bookmarkStart w:id="3666" w:name="_Toc471307776"/>
      <w:bookmarkStart w:id="3667" w:name="_Toc471368925"/>
      <w:bookmarkStart w:id="3668" w:name="_Toc471374275"/>
      <w:bookmarkStart w:id="3669" w:name="_Toc471374570"/>
      <w:bookmarkStart w:id="3670" w:name="_Toc471285766"/>
      <w:bookmarkStart w:id="3671" w:name="_Toc471300388"/>
      <w:bookmarkStart w:id="3672" w:name="_Toc471305888"/>
      <w:bookmarkStart w:id="3673" w:name="_Toc471306488"/>
      <w:bookmarkStart w:id="3674" w:name="_Toc471307004"/>
      <w:bookmarkStart w:id="3675" w:name="_Toc471307777"/>
      <w:bookmarkStart w:id="3676" w:name="_Toc471368926"/>
      <w:bookmarkStart w:id="3677" w:name="_Toc471374276"/>
      <w:bookmarkStart w:id="3678" w:name="_Toc471374571"/>
      <w:bookmarkStart w:id="3679" w:name="_Toc471285767"/>
      <w:bookmarkStart w:id="3680" w:name="_Toc471300389"/>
      <w:bookmarkStart w:id="3681" w:name="_Toc471305889"/>
      <w:bookmarkStart w:id="3682" w:name="_Toc471306489"/>
      <w:bookmarkStart w:id="3683" w:name="_Toc471307005"/>
      <w:bookmarkStart w:id="3684" w:name="_Toc471307778"/>
      <w:bookmarkStart w:id="3685" w:name="_Toc471368927"/>
      <w:bookmarkStart w:id="3686" w:name="_Toc471374277"/>
      <w:bookmarkStart w:id="3687" w:name="_Toc471374572"/>
      <w:bookmarkStart w:id="3688" w:name="_Toc471285768"/>
      <w:bookmarkStart w:id="3689" w:name="_Toc471300390"/>
      <w:bookmarkStart w:id="3690" w:name="_Toc471305890"/>
      <w:bookmarkStart w:id="3691" w:name="_Toc471306490"/>
      <w:bookmarkStart w:id="3692" w:name="_Toc471307006"/>
      <w:bookmarkStart w:id="3693" w:name="_Toc471307779"/>
      <w:bookmarkStart w:id="3694" w:name="_Toc471368928"/>
      <w:bookmarkStart w:id="3695" w:name="_Toc471374278"/>
      <w:bookmarkStart w:id="3696" w:name="_Toc471374573"/>
      <w:bookmarkStart w:id="3697" w:name="_Toc471285769"/>
      <w:bookmarkStart w:id="3698" w:name="_Toc471300391"/>
      <w:bookmarkStart w:id="3699" w:name="_Toc471305891"/>
      <w:bookmarkStart w:id="3700" w:name="_Toc471306491"/>
      <w:bookmarkStart w:id="3701" w:name="_Toc471307007"/>
      <w:bookmarkStart w:id="3702" w:name="_Toc471307780"/>
      <w:bookmarkStart w:id="3703" w:name="_Toc471368929"/>
      <w:bookmarkStart w:id="3704" w:name="_Toc471374279"/>
      <w:bookmarkStart w:id="3705" w:name="_Toc471374574"/>
      <w:bookmarkStart w:id="3706" w:name="_Toc471285770"/>
      <w:bookmarkStart w:id="3707" w:name="_Toc471300392"/>
      <w:bookmarkStart w:id="3708" w:name="_Toc471305892"/>
      <w:bookmarkStart w:id="3709" w:name="_Toc471306492"/>
      <w:bookmarkStart w:id="3710" w:name="_Toc471307008"/>
      <w:bookmarkStart w:id="3711" w:name="_Toc471307781"/>
      <w:bookmarkStart w:id="3712" w:name="_Toc471368930"/>
      <w:bookmarkStart w:id="3713" w:name="_Toc471374280"/>
      <w:bookmarkStart w:id="3714" w:name="_Toc471374575"/>
      <w:bookmarkStart w:id="3715" w:name="_Toc471285771"/>
      <w:bookmarkStart w:id="3716" w:name="_Toc471300393"/>
      <w:bookmarkStart w:id="3717" w:name="_Toc471305893"/>
      <w:bookmarkStart w:id="3718" w:name="_Toc471306493"/>
      <w:bookmarkStart w:id="3719" w:name="_Toc471307009"/>
      <w:bookmarkStart w:id="3720" w:name="_Toc471307782"/>
      <w:bookmarkStart w:id="3721" w:name="_Toc471368931"/>
      <w:bookmarkStart w:id="3722" w:name="_Toc471374281"/>
      <w:bookmarkStart w:id="3723" w:name="_Toc471374576"/>
      <w:bookmarkStart w:id="3724" w:name="_Toc471285772"/>
      <w:bookmarkStart w:id="3725" w:name="_Toc471300394"/>
      <w:bookmarkStart w:id="3726" w:name="_Toc471305894"/>
      <w:bookmarkStart w:id="3727" w:name="_Toc471306494"/>
      <w:bookmarkStart w:id="3728" w:name="_Toc471307010"/>
      <w:bookmarkStart w:id="3729" w:name="_Toc471307783"/>
      <w:bookmarkStart w:id="3730" w:name="_Toc471368932"/>
      <w:bookmarkStart w:id="3731" w:name="_Toc471374282"/>
      <w:bookmarkStart w:id="3732" w:name="_Toc471374577"/>
      <w:bookmarkStart w:id="3733" w:name="_Toc471285773"/>
      <w:bookmarkStart w:id="3734" w:name="_Toc471300395"/>
      <w:bookmarkStart w:id="3735" w:name="_Toc471305895"/>
      <w:bookmarkStart w:id="3736" w:name="_Toc471306495"/>
      <w:bookmarkStart w:id="3737" w:name="_Toc471307011"/>
      <w:bookmarkStart w:id="3738" w:name="_Toc471307784"/>
      <w:bookmarkStart w:id="3739" w:name="_Toc471368933"/>
      <w:bookmarkStart w:id="3740" w:name="_Toc471374283"/>
      <w:bookmarkStart w:id="3741" w:name="_Toc471374578"/>
      <w:bookmarkStart w:id="3742" w:name="_Toc471285774"/>
      <w:bookmarkStart w:id="3743" w:name="_Toc471300396"/>
      <w:bookmarkStart w:id="3744" w:name="_Toc471305896"/>
      <w:bookmarkStart w:id="3745" w:name="_Toc471306496"/>
      <w:bookmarkStart w:id="3746" w:name="_Toc471307012"/>
      <w:bookmarkStart w:id="3747" w:name="_Toc471307785"/>
      <w:bookmarkStart w:id="3748" w:name="_Toc471368934"/>
      <w:bookmarkStart w:id="3749" w:name="_Toc471374284"/>
      <w:bookmarkStart w:id="3750" w:name="_Toc471374579"/>
      <w:bookmarkStart w:id="3751" w:name="_Toc471285775"/>
      <w:bookmarkStart w:id="3752" w:name="_Toc471300397"/>
      <w:bookmarkStart w:id="3753" w:name="_Toc471305897"/>
      <w:bookmarkStart w:id="3754" w:name="_Toc471306497"/>
      <w:bookmarkStart w:id="3755" w:name="_Toc471307013"/>
      <w:bookmarkStart w:id="3756" w:name="_Toc471307786"/>
      <w:bookmarkStart w:id="3757" w:name="_Toc471368935"/>
      <w:bookmarkStart w:id="3758" w:name="_Toc471374285"/>
      <w:bookmarkStart w:id="3759" w:name="_Toc471374580"/>
      <w:bookmarkStart w:id="3760" w:name="_Toc471285776"/>
      <w:bookmarkStart w:id="3761" w:name="_Toc471300398"/>
      <w:bookmarkStart w:id="3762" w:name="_Toc471305898"/>
      <w:bookmarkStart w:id="3763" w:name="_Toc471306498"/>
      <w:bookmarkStart w:id="3764" w:name="_Toc471307014"/>
      <w:bookmarkStart w:id="3765" w:name="_Toc471307787"/>
      <w:bookmarkStart w:id="3766" w:name="_Toc471368936"/>
      <w:bookmarkStart w:id="3767" w:name="_Toc471374286"/>
      <w:bookmarkStart w:id="3768" w:name="_Toc471374581"/>
      <w:bookmarkStart w:id="3769" w:name="_Toc471285777"/>
      <w:bookmarkStart w:id="3770" w:name="_Toc471300399"/>
      <w:bookmarkStart w:id="3771" w:name="_Toc471305899"/>
      <w:bookmarkStart w:id="3772" w:name="_Toc471306499"/>
      <w:bookmarkStart w:id="3773" w:name="_Toc471307015"/>
      <w:bookmarkStart w:id="3774" w:name="_Toc471307788"/>
      <w:bookmarkStart w:id="3775" w:name="_Toc471368937"/>
      <w:bookmarkStart w:id="3776" w:name="_Toc471374287"/>
      <w:bookmarkStart w:id="3777" w:name="_Toc471374582"/>
      <w:bookmarkStart w:id="3778" w:name="_Toc471285778"/>
      <w:bookmarkStart w:id="3779" w:name="_Toc471300400"/>
      <w:bookmarkStart w:id="3780" w:name="_Toc471305900"/>
      <w:bookmarkStart w:id="3781" w:name="_Toc471306500"/>
      <w:bookmarkStart w:id="3782" w:name="_Toc471307016"/>
      <w:bookmarkStart w:id="3783" w:name="_Toc471307789"/>
      <w:bookmarkStart w:id="3784" w:name="_Toc471368938"/>
      <w:bookmarkStart w:id="3785" w:name="_Toc471374288"/>
      <w:bookmarkStart w:id="3786" w:name="_Toc471374583"/>
      <w:bookmarkStart w:id="3787" w:name="_Toc471285779"/>
      <w:bookmarkStart w:id="3788" w:name="_Toc471300401"/>
      <w:bookmarkStart w:id="3789" w:name="_Toc471305901"/>
      <w:bookmarkStart w:id="3790" w:name="_Toc471306501"/>
      <w:bookmarkStart w:id="3791" w:name="_Toc471307017"/>
      <w:bookmarkStart w:id="3792" w:name="_Toc471307790"/>
      <w:bookmarkStart w:id="3793" w:name="_Toc471368939"/>
      <w:bookmarkStart w:id="3794" w:name="_Toc471374289"/>
      <w:bookmarkStart w:id="3795" w:name="_Toc471374584"/>
      <w:bookmarkStart w:id="3796" w:name="_Toc471285780"/>
      <w:bookmarkStart w:id="3797" w:name="_Toc471300402"/>
      <w:bookmarkStart w:id="3798" w:name="_Toc471305902"/>
      <w:bookmarkStart w:id="3799" w:name="_Toc471306502"/>
      <w:bookmarkStart w:id="3800" w:name="_Toc471307018"/>
      <w:bookmarkStart w:id="3801" w:name="_Toc471307791"/>
      <w:bookmarkStart w:id="3802" w:name="_Toc471368940"/>
      <w:bookmarkStart w:id="3803" w:name="_Toc471374290"/>
      <w:bookmarkStart w:id="3804" w:name="_Toc471374585"/>
      <w:bookmarkStart w:id="3805" w:name="_Toc471285781"/>
      <w:bookmarkStart w:id="3806" w:name="_Toc471300403"/>
      <w:bookmarkStart w:id="3807" w:name="_Toc471305903"/>
      <w:bookmarkStart w:id="3808" w:name="_Toc471306503"/>
      <w:bookmarkStart w:id="3809" w:name="_Toc471307019"/>
      <w:bookmarkStart w:id="3810" w:name="_Toc471307792"/>
      <w:bookmarkStart w:id="3811" w:name="_Toc471368941"/>
      <w:bookmarkStart w:id="3812" w:name="_Toc471374291"/>
      <w:bookmarkStart w:id="3813" w:name="_Toc471374586"/>
      <w:bookmarkStart w:id="3814" w:name="_Toc471285782"/>
      <w:bookmarkStart w:id="3815" w:name="_Toc471300404"/>
      <w:bookmarkStart w:id="3816" w:name="_Toc471305904"/>
      <w:bookmarkStart w:id="3817" w:name="_Toc471306504"/>
      <w:bookmarkStart w:id="3818" w:name="_Toc471307020"/>
      <w:bookmarkStart w:id="3819" w:name="_Toc471307793"/>
      <w:bookmarkStart w:id="3820" w:name="_Toc471368942"/>
      <w:bookmarkStart w:id="3821" w:name="_Toc471374292"/>
      <w:bookmarkStart w:id="3822" w:name="_Toc471374587"/>
      <w:bookmarkStart w:id="3823" w:name="_Toc471285783"/>
      <w:bookmarkStart w:id="3824" w:name="_Toc471300405"/>
      <w:bookmarkStart w:id="3825" w:name="_Toc471305905"/>
      <w:bookmarkStart w:id="3826" w:name="_Toc471306505"/>
      <w:bookmarkStart w:id="3827" w:name="_Toc471307021"/>
      <w:bookmarkStart w:id="3828" w:name="_Toc471307794"/>
      <w:bookmarkStart w:id="3829" w:name="_Toc471368943"/>
      <w:bookmarkStart w:id="3830" w:name="_Toc471374293"/>
      <w:bookmarkStart w:id="3831" w:name="_Toc471374588"/>
      <w:bookmarkStart w:id="3832" w:name="_Toc471285784"/>
      <w:bookmarkStart w:id="3833" w:name="_Toc471300406"/>
      <w:bookmarkStart w:id="3834" w:name="_Toc471305906"/>
      <w:bookmarkStart w:id="3835" w:name="_Toc471306506"/>
      <w:bookmarkStart w:id="3836" w:name="_Toc471307022"/>
      <w:bookmarkStart w:id="3837" w:name="_Toc471307795"/>
      <w:bookmarkStart w:id="3838" w:name="_Toc471368944"/>
      <w:bookmarkStart w:id="3839" w:name="_Toc471374294"/>
      <w:bookmarkStart w:id="3840" w:name="_Toc471374589"/>
      <w:bookmarkStart w:id="3841" w:name="_Toc457997147"/>
      <w:bookmarkStart w:id="3842" w:name="_Toc458071443"/>
      <w:bookmarkStart w:id="3843" w:name="_Toc458083299"/>
      <w:bookmarkStart w:id="3844" w:name="_Toc458085775"/>
      <w:bookmarkStart w:id="3845" w:name="_Toc458166094"/>
      <w:bookmarkStart w:id="3846" w:name="_Toc458166609"/>
      <w:bookmarkStart w:id="3847" w:name="_Toc458167123"/>
      <w:bookmarkStart w:id="3848" w:name="_Toc458167637"/>
      <w:bookmarkStart w:id="3849" w:name="_Toc458168151"/>
      <w:bookmarkStart w:id="3850" w:name="_Toc458168668"/>
      <w:bookmarkStart w:id="3851" w:name="_Toc458169184"/>
      <w:bookmarkStart w:id="3852" w:name="_Toc458169698"/>
      <w:bookmarkStart w:id="3853" w:name="_Toc458674337"/>
      <w:bookmarkStart w:id="3854" w:name="_Toc459187268"/>
      <w:bookmarkStart w:id="3855" w:name="_Toc459210093"/>
      <w:bookmarkStart w:id="3856" w:name="_Toc459639417"/>
      <w:bookmarkStart w:id="3857" w:name="_Toc459795748"/>
      <w:bookmarkStart w:id="3858" w:name="_Toc459977669"/>
      <w:bookmarkStart w:id="3859" w:name="_Toc457997148"/>
      <w:bookmarkStart w:id="3860" w:name="_Toc458071444"/>
      <w:bookmarkStart w:id="3861" w:name="_Toc458083300"/>
      <w:bookmarkStart w:id="3862" w:name="_Toc458085776"/>
      <w:bookmarkStart w:id="3863" w:name="_Toc458166095"/>
      <w:bookmarkStart w:id="3864" w:name="_Toc458166610"/>
      <w:bookmarkStart w:id="3865" w:name="_Toc458167124"/>
      <w:bookmarkStart w:id="3866" w:name="_Toc458167638"/>
      <w:bookmarkStart w:id="3867" w:name="_Toc458168152"/>
      <w:bookmarkStart w:id="3868" w:name="_Toc458168669"/>
      <w:bookmarkStart w:id="3869" w:name="_Toc458169185"/>
      <w:bookmarkStart w:id="3870" w:name="_Toc458169699"/>
      <w:bookmarkStart w:id="3871" w:name="_Toc458674338"/>
      <w:bookmarkStart w:id="3872" w:name="_Toc459187269"/>
      <w:bookmarkStart w:id="3873" w:name="_Toc459210094"/>
      <w:bookmarkStart w:id="3874" w:name="_Toc459639418"/>
      <w:bookmarkStart w:id="3875" w:name="_Toc459795749"/>
      <w:bookmarkStart w:id="3876" w:name="_Toc459977670"/>
      <w:bookmarkStart w:id="3877" w:name="_Toc457997183"/>
      <w:bookmarkStart w:id="3878" w:name="_Toc458071479"/>
      <w:bookmarkStart w:id="3879" w:name="_Toc458083335"/>
      <w:bookmarkStart w:id="3880" w:name="_Toc458085811"/>
      <w:bookmarkStart w:id="3881" w:name="_Toc458166130"/>
      <w:bookmarkStart w:id="3882" w:name="_Toc458166645"/>
      <w:bookmarkStart w:id="3883" w:name="_Toc458167159"/>
      <w:bookmarkStart w:id="3884" w:name="_Toc458167673"/>
      <w:bookmarkStart w:id="3885" w:name="_Toc458168187"/>
      <w:bookmarkStart w:id="3886" w:name="_Toc458168704"/>
      <w:bookmarkStart w:id="3887" w:name="_Toc458169220"/>
      <w:bookmarkStart w:id="3888" w:name="_Toc458169734"/>
      <w:bookmarkStart w:id="3889" w:name="_Toc458674373"/>
      <w:bookmarkStart w:id="3890" w:name="_Toc459187304"/>
      <w:bookmarkStart w:id="3891" w:name="_Toc459210129"/>
      <w:bookmarkStart w:id="3892" w:name="_Toc459639453"/>
      <w:bookmarkStart w:id="3893" w:name="_Toc459795784"/>
      <w:bookmarkStart w:id="3894" w:name="_Toc459977705"/>
      <w:bookmarkStart w:id="3895" w:name="_Toc457997184"/>
      <w:bookmarkStart w:id="3896" w:name="_Toc458071480"/>
      <w:bookmarkStart w:id="3897" w:name="_Toc458083336"/>
      <w:bookmarkStart w:id="3898" w:name="_Toc458085812"/>
      <w:bookmarkStart w:id="3899" w:name="_Toc458166131"/>
      <w:bookmarkStart w:id="3900" w:name="_Toc458166646"/>
      <w:bookmarkStart w:id="3901" w:name="_Toc458167160"/>
      <w:bookmarkStart w:id="3902" w:name="_Toc458167674"/>
      <w:bookmarkStart w:id="3903" w:name="_Toc458168188"/>
      <w:bookmarkStart w:id="3904" w:name="_Toc458168705"/>
      <w:bookmarkStart w:id="3905" w:name="_Toc458169221"/>
      <w:bookmarkStart w:id="3906" w:name="_Toc458169735"/>
      <w:bookmarkStart w:id="3907" w:name="_Toc458674374"/>
      <w:bookmarkStart w:id="3908" w:name="_Toc459187305"/>
      <w:bookmarkStart w:id="3909" w:name="_Toc459210130"/>
      <w:bookmarkStart w:id="3910" w:name="_Toc459639454"/>
      <w:bookmarkStart w:id="3911" w:name="_Toc459795785"/>
      <w:bookmarkStart w:id="3912" w:name="_Toc459977706"/>
      <w:bookmarkStart w:id="3913" w:name="_Toc457997185"/>
      <w:bookmarkStart w:id="3914" w:name="_Toc458071481"/>
      <w:bookmarkStart w:id="3915" w:name="_Toc458083337"/>
      <w:bookmarkStart w:id="3916" w:name="_Toc458085813"/>
      <w:bookmarkStart w:id="3917" w:name="_Toc458166132"/>
      <w:bookmarkStart w:id="3918" w:name="_Toc458166647"/>
      <w:bookmarkStart w:id="3919" w:name="_Toc458167161"/>
      <w:bookmarkStart w:id="3920" w:name="_Toc458167675"/>
      <w:bookmarkStart w:id="3921" w:name="_Toc458168189"/>
      <w:bookmarkStart w:id="3922" w:name="_Toc458168706"/>
      <w:bookmarkStart w:id="3923" w:name="_Toc458169222"/>
      <w:bookmarkStart w:id="3924" w:name="_Toc458169736"/>
      <w:bookmarkStart w:id="3925" w:name="_Toc458674375"/>
      <w:bookmarkStart w:id="3926" w:name="_Toc459187306"/>
      <w:bookmarkStart w:id="3927" w:name="_Toc459210131"/>
      <w:bookmarkStart w:id="3928" w:name="_Toc459639455"/>
      <w:bookmarkStart w:id="3929" w:name="_Toc459795786"/>
      <w:bookmarkStart w:id="3930" w:name="_Toc459977707"/>
      <w:bookmarkStart w:id="3931" w:name="_Toc471285785"/>
      <w:bookmarkStart w:id="3932" w:name="_Toc471300407"/>
      <w:bookmarkStart w:id="3933" w:name="_Toc471305907"/>
      <w:bookmarkStart w:id="3934" w:name="_Toc471306507"/>
      <w:bookmarkStart w:id="3935" w:name="_Toc471307023"/>
      <w:bookmarkStart w:id="3936" w:name="_Toc471307796"/>
      <w:bookmarkStart w:id="3937" w:name="_Toc471368945"/>
      <w:bookmarkStart w:id="3938" w:name="_Toc471374295"/>
      <w:bookmarkStart w:id="3939" w:name="_Toc471374590"/>
      <w:bookmarkStart w:id="3940" w:name="_Toc471285786"/>
      <w:bookmarkStart w:id="3941" w:name="_Toc471300408"/>
      <w:bookmarkStart w:id="3942" w:name="_Toc471305908"/>
      <w:bookmarkStart w:id="3943" w:name="_Toc471306508"/>
      <w:bookmarkStart w:id="3944" w:name="_Toc471307024"/>
      <w:bookmarkStart w:id="3945" w:name="_Toc471307797"/>
      <w:bookmarkStart w:id="3946" w:name="_Toc471368946"/>
      <w:bookmarkStart w:id="3947" w:name="_Toc471374296"/>
      <w:bookmarkStart w:id="3948" w:name="_Toc471374591"/>
      <w:bookmarkStart w:id="3949" w:name="_Toc471285787"/>
      <w:bookmarkStart w:id="3950" w:name="_Toc471300409"/>
      <w:bookmarkStart w:id="3951" w:name="_Toc471305909"/>
      <w:bookmarkStart w:id="3952" w:name="_Toc471306509"/>
      <w:bookmarkStart w:id="3953" w:name="_Toc471307025"/>
      <w:bookmarkStart w:id="3954" w:name="_Toc471307798"/>
      <w:bookmarkStart w:id="3955" w:name="_Toc471368947"/>
      <w:bookmarkStart w:id="3956" w:name="_Toc471374297"/>
      <w:bookmarkStart w:id="3957" w:name="_Toc471374592"/>
      <w:bookmarkStart w:id="3958" w:name="_Toc471285788"/>
      <w:bookmarkStart w:id="3959" w:name="_Toc471300410"/>
      <w:bookmarkStart w:id="3960" w:name="_Toc471305910"/>
      <w:bookmarkStart w:id="3961" w:name="_Toc471306510"/>
      <w:bookmarkStart w:id="3962" w:name="_Toc471307026"/>
      <w:bookmarkStart w:id="3963" w:name="_Toc471307799"/>
      <w:bookmarkStart w:id="3964" w:name="_Toc471368948"/>
      <w:bookmarkStart w:id="3965" w:name="_Toc471374298"/>
      <w:bookmarkStart w:id="3966" w:name="_Toc471374593"/>
      <w:bookmarkStart w:id="3967" w:name="_Toc471285789"/>
      <w:bookmarkStart w:id="3968" w:name="_Toc471300411"/>
      <w:bookmarkStart w:id="3969" w:name="_Toc471305911"/>
      <w:bookmarkStart w:id="3970" w:name="_Toc471306511"/>
      <w:bookmarkStart w:id="3971" w:name="_Toc471307027"/>
      <w:bookmarkStart w:id="3972" w:name="_Toc471307800"/>
      <w:bookmarkStart w:id="3973" w:name="_Toc471368949"/>
      <w:bookmarkStart w:id="3974" w:name="_Toc471374299"/>
      <w:bookmarkStart w:id="3975" w:name="_Toc471374594"/>
      <w:bookmarkStart w:id="3976" w:name="_Toc471285790"/>
      <w:bookmarkStart w:id="3977" w:name="_Toc471300412"/>
      <w:bookmarkStart w:id="3978" w:name="_Toc471305912"/>
      <w:bookmarkStart w:id="3979" w:name="_Toc471306512"/>
      <w:bookmarkStart w:id="3980" w:name="_Toc471307028"/>
      <w:bookmarkStart w:id="3981" w:name="_Toc471307801"/>
      <w:bookmarkStart w:id="3982" w:name="_Toc471368950"/>
      <w:bookmarkStart w:id="3983" w:name="_Toc471374300"/>
      <w:bookmarkStart w:id="3984" w:name="_Toc471374595"/>
      <w:bookmarkStart w:id="3985" w:name="_Toc471285791"/>
      <w:bookmarkStart w:id="3986" w:name="_Toc471300413"/>
      <w:bookmarkStart w:id="3987" w:name="_Toc471305913"/>
      <w:bookmarkStart w:id="3988" w:name="_Toc471306513"/>
      <w:bookmarkStart w:id="3989" w:name="_Toc471307029"/>
      <w:bookmarkStart w:id="3990" w:name="_Toc471307802"/>
      <w:bookmarkStart w:id="3991" w:name="_Toc471368951"/>
      <w:bookmarkStart w:id="3992" w:name="_Toc471374301"/>
      <w:bookmarkStart w:id="3993" w:name="_Toc471374596"/>
      <w:bookmarkStart w:id="3994" w:name="_Toc471285792"/>
      <w:bookmarkStart w:id="3995" w:name="_Toc471300414"/>
      <w:bookmarkStart w:id="3996" w:name="_Toc471305914"/>
      <w:bookmarkStart w:id="3997" w:name="_Toc471306514"/>
      <w:bookmarkStart w:id="3998" w:name="_Toc471307030"/>
      <w:bookmarkStart w:id="3999" w:name="_Toc471307803"/>
      <w:bookmarkStart w:id="4000" w:name="_Toc471368952"/>
      <w:bookmarkStart w:id="4001" w:name="_Toc471374302"/>
      <w:bookmarkStart w:id="4002" w:name="_Toc471374597"/>
      <w:bookmarkStart w:id="4003" w:name="_Toc471285793"/>
      <w:bookmarkStart w:id="4004" w:name="_Toc471300415"/>
      <w:bookmarkStart w:id="4005" w:name="_Toc471305915"/>
      <w:bookmarkStart w:id="4006" w:name="_Toc471306515"/>
      <w:bookmarkStart w:id="4007" w:name="_Toc471307031"/>
      <w:bookmarkStart w:id="4008" w:name="_Toc471307804"/>
      <w:bookmarkStart w:id="4009" w:name="_Toc471368953"/>
      <w:bookmarkStart w:id="4010" w:name="_Toc471374303"/>
      <w:bookmarkStart w:id="4011" w:name="_Toc471374598"/>
      <w:bookmarkStart w:id="4012" w:name="_Toc471285794"/>
      <w:bookmarkStart w:id="4013" w:name="_Toc471300416"/>
      <w:bookmarkStart w:id="4014" w:name="_Toc471305916"/>
      <w:bookmarkStart w:id="4015" w:name="_Toc471306516"/>
      <w:bookmarkStart w:id="4016" w:name="_Toc471307032"/>
      <w:bookmarkStart w:id="4017" w:name="_Toc471307805"/>
      <w:bookmarkStart w:id="4018" w:name="_Toc471368954"/>
      <w:bookmarkStart w:id="4019" w:name="_Toc471374304"/>
      <w:bookmarkStart w:id="4020" w:name="_Toc471374599"/>
      <w:bookmarkStart w:id="4021" w:name="_Toc471285795"/>
      <w:bookmarkStart w:id="4022" w:name="_Toc471300417"/>
      <w:bookmarkStart w:id="4023" w:name="_Toc471305917"/>
      <w:bookmarkStart w:id="4024" w:name="_Toc471306517"/>
      <w:bookmarkStart w:id="4025" w:name="_Toc471307033"/>
      <w:bookmarkStart w:id="4026" w:name="_Toc471307806"/>
      <w:bookmarkStart w:id="4027" w:name="_Toc471368955"/>
      <w:bookmarkStart w:id="4028" w:name="_Toc471374305"/>
      <w:bookmarkStart w:id="4029" w:name="_Toc471374600"/>
      <w:bookmarkStart w:id="4030" w:name="_Toc471285796"/>
      <w:bookmarkStart w:id="4031" w:name="_Toc471300418"/>
      <w:bookmarkStart w:id="4032" w:name="_Toc471305918"/>
      <w:bookmarkStart w:id="4033" w:name="_Toc471306518"/>
      <w:bookmarkStart w:id="4034" w:name="_Toc471307034"/>
      <w:bookmarkStart w:id="4035" w:name="_Toc471307807"/>
      <w:bookmarkStart w:id="4036" w:name="_Toc471368956"/>
      <w:bookmarkStart w:id="4037" w:name="_Toc471374306"/>
      <w:bookmarkStart w:id="4038" w:name="_Toc471374601"/>
      <w:bookmarkStart w:id="4039" w:name="_Toc471285797"/>
      <w:bookmarkStart w:id="4040" w:name="_Toc471300419"/>
      <w:bookmarkStart w:id="4041" w:name="_Toc471305919"/>
      <w:bookmarkStart w:id="4042" w:name="_Toc471306519"/>
      <w:bookmarkStart w:id="4043" w:name="_Toc471307035"/>
      <w:bookmarkStart w:id="4044" w:name="_Toc471307808"/>
      <w:bookmarkStart w:id="4045" w:name="_Toc471368957"/>
      <w:bookmarkStart w:id="4046" w:name="_Toc471374307"/>
      <w:bookmarkStart w:id="4047" w:name="_Toc471374602"/>
      <w:bookmarkStart w:id="4048" w:name="_Toc471285798"/>
      <w:bookmarkStart w:id="4049" w:name="_Toc471300420"/>
      <w:bookmarkStart w:id="4050" w:name="_Toc471305920"/>
      <w:bookmarkStart w:id="4051" w:name="_Toc471306520"/>
      <w:bookmarkStart w:id="4052" w:name="_Toc471307036"/>
      <w:bookmarkStart w:id="4053" w:name="_Toc471307809"/>
      <w:bookmarkStart w:id="4054" w:name="_Toc471368958"/>
      <w:bookmarkStart w:id="4055" w:name="_Toc471374308"/>
      <w:bookmarkStart w:id="4056" w:name="_Toc471374603"/>
      <w:bookmarkStart w:id="4057" w:name="_Data_reporting"/>
      <w:bookmarkStart w:id="4058" w:name="_4.14_Data_reporting"/>
      <w:bookmarkStart w:id="4059" w:name="_Toc471374604"/>
      <w:bookmarkStart w:id="4060" w:name="_Toc477960046"/>
      <w:bookmarkStart w:id="4061" w:name="_Toc483222945"/>
      <w:bookmarkStart w:id="4062" w:name="_Toc501621255"/>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r>
        <w:t>4.14 Data</w:t>
      </w:r>
      <w:r w:rsidR="00983AE6" w:rsidRPr="00736F23">
        <w:t xml:space="preserve"> reporting</w:t>
      </w:r>
      <w:bookmarkEnd w:id="4059"/>
      <w:bookmarkEnd w:id="4060"/>
      <w:bookmarkEnd w:id="4061"/>
      <w:bookmarkEnd w:id="4062"/>
    </w:p>
    <w:p w14:paraId="0E41DD7F" w14:textId="77777777" w:rsidR="007613B9" w:rsidRDefault="006A5B7C" w:rsidP="007613B9">
      <w:r>
        <w:t>A</w:t>
      </w:r>
      <w:r w:rsidR="007613B9">
        <w:t>pproved course providers are required to report data for all students studying in approved courses who are eligible to apply for a VET student loan</w:t>
      </w:r>
      <w:r>
        <w:t xml:space="preserve"> </w:t>
      </w:r>
      <w:r w:rsidR="00257B50">
        <w:t xml:space="preserve">– </w:t>
      </w:r>
      <w:r w:rsidR="007613B9">
        <w:t xml:space="preserve">i.e. VET submissions must include data for all students who, on the census day/date for a part of a course or unit of study:  </w:t>
      </w:r>
    </w:p>
    <w:p w14:paraId="0FDB1147" w14:textId="77777777" w:rsidR="007613B9" w:rsidRDefault="007613B9" w:rsidP="00A0727A">
      <w:pPr>
        <w:pStyle w:val="ListBullet"/>
        <w:numPr>
          <w:ilvl w:val="0"/>
          <w:numId w:val="74"/>
        </w:numPr>
      </w:pPr>
      <w:r>
        <w:t xml:space="preserve">deferred all or part of their tuition fees through VSL or </w:t>
      </w:r>
    </w:p>
    <w:p w14:paraId="623296D9" w14:textId="77777777" w:rsidR="007613B9" w:rsidRDefault="007613B9" w:rsidP="00A0727A">
      <w:pPr>
        <w:pStyle w:val="ListBullet"/>
        <w:numPr>
          <w:ilvl w:val="0"/>
          <w:numId w:val="74"/>
        </w:numPr>
      </w:pPr>
      <w:r>
        <w:t>paid their tuition fees upfront, directly to the provider</w:t>
      </w:r>
      <w:r w:rsidR="00257B50">
        <w:t xml:space="preserve"> (whether or not the fees have in fact been paid</w:t>
      </w:r>
      <w:r w:rsidR="006A5B7C">
        <w:t xml:space="preserve"> – refer reporting information below</w:t>
      </w:r>
      <w:r w:rsidR="00257B50">
        <w:t>)</w:t>
      </w:r>
      <w:r>
        <w:t xml:space="preserve">.  </w:t>
      </w:r>
    </w:p>
    <w:p w14:paraId="49D1FCAA" w14:textId="77777777" w:rsidR="00983AE6" w:rsidRPr="00032C45" w:rsidRDefault="00983AE6" w:rsidP="00983AE6">
      <w:r w:rsidRPr="00032C45">
        <w:t>Data submitted by providers is used in monitoring a provider’s compliance with the Act and Rules, publishing information and for submission of student debt information to the ATO. Civil penalties apply for failing to provide required data or providing false or misleading data.</w:t>
      </w:r>
    </w:p>
    <w:p w14:paraId="17D6ECF0" w14:textId="104B14F8" w:rsidR="00983AE6" w:rsidRPr="00032C45" w:rsidRDefault="00983AE6" w:rsidP="00983AE6">
      <w:pPr>
        <w:rPr>
          <w:color w:val="1F497D"/>
          <w:lang w:val="en-GB" w:eastAsia="en-AU"/>
        </w:rPr>
      </w:pPr>
      <w:r w:rsidRPr="00032C45">
        <w:rPr>
          <w:lang w:val="en-GB" w:eastAsia="en-AU"/>
        </w:rPr>
        <w:t xml:space="preserve">The </w:t>
      </w:r>
      <w:r w:rsidR="00257B50">
        <w:rPr>
          <w:lang w:val="en-GB" w:eastAsia="en-AU"/>
        </w:rPr>
        <w:t xml:space="preserve">coding </w:t>
      </w:r>
      <w:r w:rsidRPr="00032C45">
        <w:rPr>
          <w:lang w:val="en-GB" w:eastAsia="en-AU"/>
        </w:rPr>
        <w:t>requirements for the VET Student Loans for 2017 are the same as the 2017 reporting requirements for VET FEE-HELP. All details of the 2017</w:t>
      </w:r>
      <w:r w:rsidR="002478CE">
        <w:rPr>
          <w:lang w:val="en-GB" w:eastAsia="en-AU"/>
        </w:rPr>
        <w:t xml:space="preserve"> and 2018</w:t>
      </w:r>
      <w:r w:rsidRPr="00032C45">
        <w:rPr>
          <w:lang w:val="en-GB" w:eastAsia="en-AU"/>
        </w:rPr>
        <w:t xml:space="preserve"> </w:t>
      </w:r>
      <w:r w:rsidR="002478CE">
        <w:rPr>
          <w:lang w:val="en-GB" w:eastAsia="en-AU"/>
        </w:rPr>
        <w:t xml:space="preserve">reporting </w:t>
      </w:r>
      <w:r w:rsidRPr="00032C45">
        <w:rPr>
          <w:lang w:val="en-GB" w:eastAsia="en-AU"/>
        </w:rPr>
        <w:t xml:space="preserve">requirements are available on </w:t>
      </w:r>
      <w:hyperlink r:id="rId108" w:anchor="nav" w:history="1">
        <w:r w:rsidRPr="00FB00EE">
          <w:rPr>
            <w:rStyle w:val="Hyperlink"/>
          </w:rPr>
          <w:t>HEIMSHELP website</w:t>
        </w:r>
      </w:hyperlink>
      <w:r w:rsidRPr="00032C45">
        <w:rPr>
          <w:color w:val="1F497D"/>
          <w:lang w:val="en-GB" w:eastAsia="en-AU"/>
        </w:rPr>
        <w:t xml:space="preserve">. </w:t>
      </w:r>
    </w:p>
    <w:p w14:paraId="2B4C6B3C" w14:textId="678F8998" w:rsidR="00983AE6" w:rsidRPr="00FB00EE" w:rsidRDefault="00983AE6" w:rsidP="00983AE6">
      <w:r w:rsidRPr="00FB00EE">
        <w:rPr>
          <w:rStyle w:val="Strong"/>
        </w:rPr>
        <w:t>NOTE:</w:t>
      </w:r>
      <w:r w:rsidRPr="006E60D7">
        <w:rPr>
          <w:rFonts w:eastAsia="Times New Roman"/>
          <w:b/>
          <w:color w:val="000000"/>
        </w:rPr>
        <w:t xml:space="preserve"> </w:t>
      </w:r>
      <w:r w:rsidRPr="00FB00EE">
        <w:t>There are likely to be adjustments to data reporting in line with interim IT solutions put in place. This section will be updated to inform of any changes to be made</w:t>
      </w:r>
      <w:r w:rsidR="002478CE">
        <w:t xml:space="preserve"> and refer to the HEIMS and VET Student Loans websites</w:t>
      </w:r>
      <w:r w:rsidRPr="00FB00EE">
        <w:t>.</w:t>
      </w:r>
    </w:p>
    <w:p w14:paraId="2DBAB18B" w14:textId="77777777" w:rsidR="00983AE6" w:rsidRPr="007228C7" w:rsidRDefault="00983AE6" w:rsidP="00983AE6">
      <w:r w:rsidRPr="007228C7">
        <w:t xml:space="preserve">In addition, providers should access the ‘Data Provision and Statutory Declarations For 2017 Monthly Census Dates’ fact sheet available on the VET Student Loans website: </w:t>
      </w:r>
      <w:hyperlink r:id="rId109" w:history="1">
        <w:r w:rsidR="00257B50" w:rsidRPr="007228C7">
          <w:rPr>
            <w:rStyle w:val="Hyperlink"/>
          </w:rPr>
          <w:t>https://docs.education.gov.au/node/43281</w:t>
        </w:r>
      </w:hyperlink>
      <w:r w:rsidR="00257B50">
        <w:rPr>
          <w:b/>
        </w:rPr>
        <w:t xml:space="preserve">.  </w:t>
      </w:r>
      <w:r w:rsidRPr="007228C7">
        <w:t xml:space="preserve"> </w:t>
      </w:r>
    </w:p>
    <w:p w14:paraId="6E39E5AE" w14:textId="77777777" w:rsidR="000D2060" w:rsidRDefault="00257B50" w:rsidP="00257B50">
      <w:r w:rsidRPr="007228C7">
        <w:t>Payment of tuition fees from students for units of study/parts of courses should be reported against data element 381</w:t>
      </w:r>
      <w:r w:rsidR="000D2060">
        <w:t>:</w:t>
      </w:r>
      <w:r w:rsidRPr="007228C7">
        <w:t xml:space="preserve"> Amount paid up front (</w:t>
      </w:r>
      <w:hyperlink r:id="rId110" w:history="1">
        <w:r w:rsidR="006A5B7C" w:rsidRPr="007228C7">
          <w:rPr>
            <w:rStyle w:val="Hyperlink"/>
          </w:rPr>
          <w:t>http://heimshelp.education.gov.au/sites/heimshelp/2017_data_requirements/2017dataelements/pages/381</w:t>
        </w:r>
      </w:hyperlink>
      <w:r w:rsidRPr="007228C7">
        <w:t xml:space="preserve">).  </w:t>
      </w:r>
    </w:p>
    <w:p w14:paraId="3E2D294A" w14:textId="77777777" w:rsidR="000D2060" w:rsidRDefault="00257B50" w:rsidP="00257B50">
      <w:r w:rsidRPr="007228C7">
        <w:lastRenderedPageBreak/>
        <w:t>The amount of VET Student Loans debt for a unit of study/part of course should be reported against data element 558</w:t>
      </w:r>
      <w:r w:rsidR="000D2060">
        <w:t>:</w:t>
      </w:r>
      <w:r w:rsidRPr="007228C7">
        <w:t xml:space="preserve"> HELP debt amount (</w:t>
      </w:r>
      <w:hyperlink r:id="rId111" w:history="1">
        <w:r w:rsidR="006A5B7C" w:rsidRPr="007228C7">
          <w:rPr>
            <w:rStyle w:val="Hyperlink"/>
          </w:rPr>
          <w:t>http://heimshelp.education.gov.au/sites/heimshelp/2017_data_requirements/2017dataelements/pages/558</w:t>
        </w:r>
      </w:hyperlink>
      <w:r w:rsidRPr="007228C7">
        <w:t xml:space="preserve">).  </w:t>
      </w:r>
    </w:p>
    <w:p w14:paraId="6595D712" w14:textId="77777777" w:rsidR="000D2060" w:rsidRDefault="00257B50" w:rsidP="00257B50">
      <w:r w:rsidRPr="007228C7">
        <w:t>The total amount charged for a unit of study/part of course is reported against data element 384</w:t>
      </w:r>
      <w:r w:rsidR="000D2060">
        <w:t>:</w:t>
      </w:r>
      <w:r w:rsidRPr="007228C7">
        <w:t xml:space="preserve"> Total amount charged (</w:t>
      </w:r>
      <w:hyperlink r:id="rId112" w:history="1">
        <w:r w:rsidR="006A5B7C" w:rsidRPr="007228C7">
          <w:rPr>
            <w:rStyle w:val="Hyperlink"/>
          </w:rPr>
          <w:t>http://heimshelp.education.gov.au/sites/heimshelp/2017_data_requirements/2017dataelements/pages/384</w:t>
        </w:r>
      </w:hyperlink>
      <w:r w:rsidRPr="007228C7">
        <w:t xml:space="preserve">).  </w:t>
      </w:r>
    </w:p>
    <w:p w14:paraId="4068A98D" w14:textId="77777777" w:rsidR="00257B50" w:rsidRPr="007228C7" w:rsidRDefault="00257B50" w:rsidP="00257B50">
      <w:r w:rsidRPr="007228C7">
        <w:t xml:space="preserve">The coding note for data element 558 (HELP debt amount) states that the HELP debt amount </w:t>
      </w:r>
      <w:r w:rsidR="006A5B7C">
        <w:t>(</w:t>
      </w:r>
      <w:r w:rsidR="00CA63F8">
        <w:t>i.e.</w:t>
      </w:r>
      <w:r w:rsidR="006A5B7C">
        <w:t xml:space="preserve"> the VET Student Loans debt amount) </w:t>
      </w:r>
      <w:r w:rsidRPr="007228C7">
        <w:t xml:space="preserve">must equal the </w:t>
      </w:r>
      <w:r w:rsidRPr="007228C7">
        <w:rPr>
          <w:i/>
        </w:rPr>
        <w:t>Total amount charged</w:t>
      </w:r>
      <w:r w:rsidRPr="007228C7">
        <w:t xml:space="preserve"> less the </w:t>
      </w:r>
      <w:r w:rsidRPr="007228C7">
        <w:rPr>
          <w:i/>
        </w:rPr>
        <w:t>Amount paid up front</w:t>
      </w:r>
      <w:r w:rsidRPr="007228C7">
        <w:t xml:space="preserve">. </w:t>
      </w:r>
    </w:p>
    <w:p w14:paraId="0A3D622A" w14:textId="6761B0D0" w:rsidR="00257B50" w:rsidRPr="007228C7" w:rsidRDefault="00115DEB" w:rsidP="00257B50">
      <w:r>
        <w:t>T</w:t>
      </w:r>
      <w:r w:rsidR="00257B50" w:rsidRPr="007228C7">
        <w:t xml:space="preserve">he </w:t>
      </w:r>
      <w:r w:rsidR="00257B50" w:rsidRPr="007228C7">
        <w:rPr>
          <w:i/>
        </w:rPr>
        <w:t>amount paid up front</w:t>
      </w:r>
      <w:r w:rsidR="00257B50" w:rsidRPr="007228C7">
        <w:t xml:space="preserve"> is the </w:t>
      </w:r>
      <w:r w:rsidR="006A5B7C">
        <w:t>amount</w:t>
      </w:r>
      <w:r w:rsidR="00257B50" w:rsidRPr="007228C7">
        <w:t xml:space="preserve"> of the total tuition fee that is not being covered by</w:t>
      </w:r>
      <w:r w:rsidR="00F119E2">
        <w:t xml:space="preserve"> a</w:t>
      </w:r>
      <w:r w:rsidR="00257B50" w:rsidRPr="007228C7">
        <w:t xml:space="preserve"> </w:t>
      </w:r>
      <w:r w:rsidR="00454ED5">
        <w:t>VET Student Loan</w:t>
      </w:r>
      <w:r w:rsidR="00257B50" w:rsidRPr="007228C7">
        <w:t>. If, on the census day for the unit of study/part of the course, the student has not yet paid the full upfront payment because the provider has entered into a payment plan or similar arrangement with the student, that is a matter between the student and the provider. It does not affect the amount to be reported on Element 381</w:t>
      </w:r>
      <w:r w:rsidR="006A5B7C">
        <w:t>, which should reflect the tuition fee less the loan amount, rather than the amount paid or collected to date</w:t>
      </w:r>
      <w:r w:rsidR="00257B50" w:rsidRPr="007228C7">
        <w:t>.</w:t>
      </w:r>
    </w:p>
    <w:p w14:paraId="45F561AA" w14:textId="77777777" w:rsidR="00983AE6" w:rsidRPr="00672323" w:rsidRDefault="00983AE6" w:rsidP="00983AE6">
      <w:pPr>
        <w:pStyle w:val="Heading3"/>
      </w:pPr>
      <w:bookmarkStart w:id="4063" w:name="_Toc477960429"/>
      <w:bookmarkStart w:id="4064" w:name="_Toc477960869"/>
      <w:bookmarkStart w:id="4065" w:name="_Toc477961308"/>
      <w:bookmarkStart w:id="4066" w:name="_Toc477961791"/>
      <w:bookmarkStart w:id="4067" w:name="_Toc477962278"/>
      <w:bookmarkStart w:id="4068" w:name="_Toc477962765"/>
      <w:bookmarkStart w:id="4069" w:name="_Toc477963251"/>
      <w:bookmarkStart w:id="4070" w:name="_Toc477963747"/>
      <w:bookmarkStart w:id="4071" w:name="_Toc478042949"/>
      <w:bookmarkStart w:id="4072" w:name="_Toc478367200"/>
      <w:bookmarkStart w:id="4073" w:name="_Toc479083812"/>
      <w:bookmarkStart w:id="4074" w:name="_Toc477960430"/>
      <w:bookmarkStart w:id="4075" w:name="_Toc477960870"/>
      <w:bookmarkStart w:id="4076" w:name="_Toc477961309"/>
      <w:bookmarkStart w:id="4077" w:name="_Toc477961792"/>
      <w:bookmarkStart w:id="4078" w:name="_Toc477962279"/>
      <w:bookmarkStart w:id="4079" w:name="_Toc477962766"/>
      <w:bookmarkStart w:id="4080" w:name="_Toc477963252"/>
      <w:bookmarkStart w:id="4081" w:name="_Toc477963748"/>
      <w:bookmarkStart w:id="4082" w:name="_Toc478042950"/>
      <w:bookmarkStart w:id="4083" w:name="_Toc478367201"/>
      <w:bookmarkStart w:id="4084" w:name="_Toc479083813"/>
      <w:bookmarkStart w:id="4085" w:name="_Toc483222946"/>
      <w:bookmarkStart w:id="4086" w:name="_Toc501621256"/>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t xml:space="preserve">4.14.1   </w:t>
      </w:r>
      <w:r w:rsidRPr="00672323">
        <w:t>Equivalent Full time Study Load</w:t>
      </w:r>
      <w:bookmarkEnd w:id="4085"/>
      <w:bookmarkEnd w:id="4086"/>
      <w:r w:rsidRPr="00672323">
        <w:t xml:space="preserve"> </w:t>
      </w:r>
    </w:p>
    <w:p w14:paraId="71B099F6" w14:textId="77777777" w:rsidR="00983AE6" w:rsidRPr="00672323" w:rsidRDefault="00983AE6" w:rsidP="00983AE6">
      <w:r w:rsidRPr="00672323">
        <w:t xml:space="preserve">Providers will need to determine the Equivalent Full time Study Load (EFTSL) for their parts of courses or units of study. The EFTSL value is how long it will take a student studying full time to complete the part of course or unit. The EFTSL value is the same regardless of </w:t>
      </w:r>
      <w:r>
        <w:t>the mode by which</w:t>
      </w:r>
      <w:r w:rsidRPr="00672323">
        <w:t xml:space="preserve"> students are undertaking their study</w:t>
      </w:r>
      <w:r>
        <w:t>, but will be different for fulltime or part time students</w:t>
      </w:r>
      <w:r w:rsidRPr="00672323">
        <w:t>.</w:t>
      </w:r>
    </w:p>
    <w:p w14:paraId="1F0F5F17" w14:textId="77777777" w:rsidR="00983AE6" w:rsidRPr="00672323" w:rsidRDefault="00983AE6" w:rsidP="00993767">
      <w:pPr>
        <w:spacing w:after="120"/>
      </w:pPr>
      <w:r w:rsidRPr="00672323">
        <w:t xml:space="preserve">For guidance on how to determine EFTSL see </w:t>
      </w:r>
      <w:hyperlink w:anchor="_Appendix_J_-" w:history="1">
        <w:r w:rsidRPr="002A6A17">
          <w:rPr>
            <w:rStyle w:val="Hyperlink"/>
          </w:rPr>
          <w:t>Appendix I</w:t>
        </w:r>
      </w:hyperlink>
      <w:r w:rsidRPr="00672323">
        <w:t>.</w:t>
      </w:r>
    </w:p>
    <w:p w14:paraId="2BBFBE6A" w14:textId="77777777" w:rsidR="00983AE6" w:rsidRPr="00672323" w:rsidRDefault="00983AE6" w:rsidP="00993767">
      <w:pPr>
        <w:pStyle w:val="Heading3"/>
      </w:pPr>
      <w:bookmarkStart w:id="4087" w:name="_Toc477960481"/>
      <w:bookmarkStart w:id="4088" w:name="_Toc477960921"/>
      <w:bookmarkStart w:id="4089" w:name="_Toc477961360"/>
      <w:bookmarkStart w:id="4090" w:name="_Toc477961843"/>
      <w:bookmarkStart w:id="4091" w:name="_Toc477962330"/>
      <w:bookmarkStart w:id="4092" w:name="_Toc477962817"/>
      <w:bookmarkStart w:id="4093" w:name="_Toc477963303"/>
      <w:bookmarkStart w:id="4094" w:name="_Toc477963799"/>
      <w:bookmarkStart w:id="4095" w:name="_Toc478043001"/>
      <w:bookmarkStart w:id="4096" w:name="_Toc478367252"/>
      <w:bookmarkStart w:id="4097" w:name="_Toc479083864"/>
      <w:bookmarkStart w:id="4098" w:name="_Toc471374609"/>
      <w:bookmarkStart w:id="4099" w:name="_Toc483222947"/>
      <w:bookmarkStart w:id="4100" w:name="_Toc501621257"/>
      <w:bookmarkEnd w:id="4087"/>
      <w:bookmarkEnd w:id="4088"/>
      <w:bookmarkEnd w:id="4089"/>
      <w:bookmarkEnd w:id="4090"/>
      <w:bookmarkEnd w:id="4091"/>
      <w:bookmarkEnd w:id="4092"/>
      <w:bookmarkEnd w:id="4093"/>
      <w:bookmarkEnd w:id="4094"/>
      <w:bookmarkEnd w:id="4095"/>
      <w:bookmarkEnd w:id="4096"/>
      <w:bookmarkEnd w:id="4097"/>
      <w:r>
        <w:t xml:space="preserve">4.14.2   </w:t>
      </w:r>
      <w:r w:rsidRPr="00672323">
        <w:t>What data needs to be reported?</w:t>
      </w:r>
      <w:bookmarkEnd w:id="4098"/>
      <w:bookmarkEnd w:id="4099"/>
      <w:bookmarkEnd w:id="4100"/>
    </w:p>
    <w:p w14:paraId="75F89FCD" w14:textId="77777777" w:rsidR="00983AE6" w:rsidRPr="00736F23" w:rsidRDefault="00983AE6" w:rsidP="00993767">
      <w:pPr>
        <w:spacing w:after="120"/>
      </w:pPr>
      <w:r w:rsidRPr="00736F23">
        <w:t xml:space="preserve">Approved </w:t>
      </w:r>
      <w:r>
        <w:t xml:space="preserve">course </w:t>
      </w:r>
      <w:r w:rsidRPr="00736F23">
        <w:t>providers are required to submit to the Secretary</w:t>
      </w:r>
      <w:r>
        <w:t>,</w:t>
      </w:r>
      <w:r w:rsidRPr="00736F23">
        <w:t xml:space="preserve"> and verify</w:t>
      </w:r>
      <w:r>
        <w:t>,</w:t>
      </w:r>
      <w:r w:rsidRPr="00736F23">
        <w:t xml:space="preserve"> certain data. These include: </w:t>
      </w:r>
    </w:p>
    <w:p w14:paraId="5E177D9F" w14:textId="77777777" w:rsidR="00983AE6" w:rsidRPr="00736F23" w:rsidRDefault="00983AE6" w:rsidP="00A0727A">
      <w:pPr>
        <w:pStyle w:val="ListBullet"/>
        <w:numPr>
          <w:ilvl w:val="0"/>
          <w:numId w:val="74"/>
        </w:numPr>
      </w:pPr>
      <w:r w:rsidRPr="00736F23">
        <w:t xml:space="preserve">student data – </w:t>
      </w:r>
      <w:r>
        <w:t>i</w:t>
      </w:r>
      <w:r w:rsidRPr="00736F23">
        <w:t>nformation on student enrolments, and the personal details of students in receipt of a VET loan</w:t>
      </w:r>
    </w:p>
    <w:p w14:paraId="463B2A3B" w14:textId="77777777" w:rsidR="00983AE6" w:rsidRPr="00736F23" w:rsidRDefault="00983AE6" w:rsidP="00A0727A">
      <w:pPr>
        <w:pStyle w:val="ListBullet"/>
        <w:numPr>
          <w:ilvl w:val="0"/>
          <w:numId w:val="74"/>
        </w:numPr>
      </w:pPr>
      <w:r w:rsidRPr="00736F23">
        <w:t xml:space="preserve">course data – </w:t>
      </w:r>
      <w:r>
        <w:t>i</w:t>
      </w:r>
      <w:r w:rsidRPr="00736F23">
        <w:t xml:space="preserve">nformation on </w:t>
      </w:r>
      <w:r>
        <w:t xml:space="preserve">the </w:t>
      </w:r>
      <w:r w:rsidRPr="00736F23">
        <w:t>provider</w:t>
      </w:r>
      <w:r>
        <w:t>’</w:t>
      </w:r>
      <w:r w:rsidRPr="00736F23">
        <w:t>s approved courses</w:t>
      </w:r>
    </w:p>
    <w:p w14:paraId="66D001BB" w14:textId="77777777" w:rsidR="00983AE6" w:rsidRPr="00736F23" w:rsidRDefault="00983AE6" w:rsidP="00A0727A">
      <w:pPr>
        <w:pStyle w:val="ListBullet"/>
        <w:numPr>
          <w:ilvl w:val="0"/>
          <w:numId w:val="74"/>
        </w:numPr>
      </w:pPr>
      <w:r w:rsidRPr="00736F23">
        <w:t xml:space="preserve">unit of study completions and </w:t>
      </w:r>
      <w:r>
        <w:t>c</w:t>
      </w:r>
      <w:r w:rsidRPr="00736F23">
        <w:t xml:space="preserve">ourse completions submissions – </w:t>
      </w:r>
      <w:r>
        <w:t>d</w:t>
      </w:r>
      <w:r w:rsidRPr="00736F23">
        <w:t>etails of students</w:t>
      </w:r>
      <w:r>
        <w:t>’</w:t>
      </w:r>
      <w:r w:rsidRPr="00736F23">
        <w:t xml:space="preserve"> completion of courses and parts of courses</w:t>
      </w:r>
      <w:r>
        <w:t>.</w:t>
      </w:r>
    </w:p>
    <w:p w14:paraId="54DF5D24" w14:textId="77777777" w:rsidR="00983AE6" w:rsidRPr="00736F23" w:rsidRDefault="00983AE6">
      <w:pPr>
        <w:pStyle w:val="Heading3"/>
      </w:pPr>
      <w:bookmarkStart w:id="4101" w:name="_Toc477960483"/>
      <w:bookmarkStart w:id="4102" w:name="_Toc477960923"/>
      <w:bookmarkStart w:id="4103" w:name="_Toc477961362"/>
      <w:bookmarkStart w:id="4104" w:name="_Toc477961845"/>
      <w:bookmarkStart w:id="4105" w:name="_Toc477962332"/>
      <w:bookmarkStart w:id="4106" w:name="_Toc477962819"/>
      <w:bookmarkStart w:id="4107" w:name="_Toc477963305"/>
      <w:bookmarkStart w:id="4108" w:name="_Toc477963801"/>
      <w:bookmarkStart w:id="4109" w:name="_Toc478043003"/>
      <w:bookmarkStart w:id="4110" w:name="_Toc478367254"/>
      <w:bookmarkStart w:id="4111" w:name="_Toc479083866"/>
      <w:bookmarkStart w:id="4112" w:name="_Toc477960485"/>
      <w:bookmarkStart w:id="4113" w:name="_Toc477960925"/>
      <w:bookmarkStart w:id="4114" w:name="_Toc477961364"/>
      <w:bookmarkStart w:id="4115" w:name="_Toc477961847"/>
      <w:bookmarkStart w:id="4116" w:name="_Toc477962334"/>
      <w:bookmarkStart w:id="4117" w:name="_Toc477962821"/>
      <w:bookmarkStart w:id="4118" w:name="_Toc477963307"/>
      <w:bookmarkStart w:id="4119" w:name="_Toc477963803"/>
      <w:bookmarkStart w:id="4120" w:name="_Toc478043005"/>
      <w:bookmarkStart w:id="4121" w:name="_Toc478367256"/>
      <w:bookmarkStart w:id="4122" w:name="_Toc479083868"/>
      <w:bookmarkStart w:id="4123" w:name="_Toc477960486"/>
      <w:bookmarkStart w:id="4124" w:name="_Toc477960926"/>
      <w:bookmarkStart w:id="4125" w:name="_Toc477961365"/>
      <w:bookmarkStart w:id="4126" w:name="_Toc477961848"/>
      <w:bookmarkStart w:id="4127" w:name="_Toc477962335"/>
      <w:bookmarkStart w:id="4128" w:name="_Toc477962822"/>
      <w:bookmarkStart w:id="4129" w:name="_Toc477963308"/>
      <w:bookmarkStart w:id="4130" w:name="_Toc477963804"/>
      <w:bookmarkStart w:id="4131" w:name="_Toc478043006"/>
      <w:bookmarkStart w:id="4132" w:name="_Toc478367257"/>
      <w:bookmarkStart w:id="4133" w:name="_Toc479083869"/>
      <w:bookmarkStart w:id="4134" w:name="_Toc471374611"/>
      <w:bookmarkStart w:id="4135" w:name="_Toc471374612"/>
      <w:bookmarkStart w:id="4136" w:name="_Toc483222948"/>
      <w:bookmarkStart w:id="4137" w:name="_Toc501621258"/>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r>
        <w:t xml:space="preserve">4.14.3   </w:t>
      </w:r>
      <w:r w:rsidRPr="00736F23">
        <w:t>Data certification</w:t>
      </w:r>
      <w:bookmarkEnd w:id="4135"/>
      <w:bookmarkEnd w:id="4136"/>
      <w:bookmarkEnd w:id="4137"/>
      <w:r w:rsidRPr="00736F23">
        <w:t xml:space="preserve"> </w:t>
      </w:r>
    </w:p>
    <w:p w14:paraId="180511BC" w14:textId="77777777" w:rsidR="00983AE6" w:rsidRPr="00736F23" w:rsidRDefault="00983AE6" w:rsidP="00993767">
      <w:pPr>
        <w:spacing w:after="120"/>
      </w:pPr>
      <w:r w:rsidRPr="00736F23">
        <w:t xml:space="preserve">All student enrolment and course completion data must be quality checked and confirmed as accurate and complete by either the Chief Executive Officer or Chief Finance Officer of </w:t>
      </w:r>
      <w:r>
        <w:t xml:space="preserve">the provider’s </w:t>
      </w:r>
      <w:r w:rsidRPr="00736F23">
        <w:t xml:space="preserve">organisation. </w:t>
      </w:r>
    </w:p>
    <w:p w14:paraId="773405C0" w14:textId="2E098D41" w:rsidR="00983AE6" w:rsidRPr="00736F23" w:rsidRDefault="00983AE6" w:rsidP="00993767">
      <w:pPr>
        <w:spacing w:after="120"/>
        <w:rPr>
          <w:b/>
          <w:color w:val="FFFFFF" w:themeColor="background1"/>
        </w:rPr>
      </w:pPr>
      <w:r w:rsidRPr="00736F23">
        <w:t>Data must be certified via the lodgement of a Statutory Declaration signed by either the Chief Executive Officer or Chief Financial Officer, in the HELP IT System (HITS) as part of each data reporting submission. There will not be a verification process in HEIMS</w:t>
      </w:r>
      <w:r w:rsidR="00192748">
        <w:t>, however from February 2018 records that have failed the payment validation process (which allows 2 – 3 months for rectification) will be invalided in HEIMS</w:t>
      </w:r>
      <w:r w:rsidRPr="00736F23">
        <w:t xml:space="preserve">. </w:t>
      </w:r>
    </w:p>
    <w:p w14:paraId="1F09F907" w14:textId="77777777" w:rsidR="005F076C" w:rsidRDefault="005F076C">
      <w:pPr>
        <w:spacing w:line="276" w:lineRule="auto"/>
        <w:rPr>
          <w:rFonts w:ascii="Calibri" w:eastAsiaTheme="majorEastAsia" w:hAnsi="Calibri" w:cstheme="majorBidi"/>
          <w:b/>
          <w:bCs/>
          <w:color w:val="24206B"/>
        </w:rPr>
      </w:pPr>
      <w:bookmarkStart w:id="4138" w:name="_Reporting_deadlines"/>
      <w:bookmarkStart w:id="4139" w:name="_4.14.4__"/>
      <w:bookmarkStart w:id="4140" w:name="_Toc483222949"/>
      <w:bookmarkEnd w:id="4138"/>
      <w:bookmarkEnd w:id="4139"/>
      <w:r>
        <w:br w:type="page"/>
      </w:r>
    </w:p>
    <w:p w14:paraId="21CD87E5" w14:textId="4FCDA399" w:rsidR="00983AE6" w:rsidRPr="00736F23" w:rsidRDefault="00983AE6" w:rsidP="00F15113">
      <w:pPr>
        <w:pStyle w:val="Heading3"/>
        <w:keepNext/>
        <w:keepLines/>
      </w:pPr>
      <w:bookmarkStart w:id="4141" w:name="_Toc501621259"/>
      <w:r>
        <w:lastRenderedPageBreak/>
        <w:t xml:space="preserve">4.14.4   </w:t>
      </w:r>
      <w:r w:rsidRPr="00736F23">
        <w:t>Reporting deadlines</w:t>
      </w:r>
      <w:bookmarkEnd w:id="4140"/>
      <w:bookmarkEnd w:id="4141"/>
    </w:p>
    <w:p w14:paraId="46E017CF" w14:textId="225843C0" w:rsidR="00572874" w:rsidRDefault="00983AE6" w:rsidP="00F15113">
      <w:pPr>
        <w:keepNext/>
        <w:keepLines/>
        <w:spacing w:after="120"/>
        <w:rPr>
          <w:rFonts w:eastAsia="Times New Roman"/>
        </w:rPr>
      </w:pPr>
      <w:r w:rsidRPr="00D24291">
        <w:rPr>
          <w:rFonts w:eastAsia="Times New Roman"/>
        </w:rPr>
        <w:t xml:space="preserve">A key aspect of the VET Student Loans </w:t>
      </w:r>
      <w:r w:rsidR="002478CE">
        <w:rPr>
          <w:rFonts w:eastAsia="Times New Roman"/>
        </w:rPr>
        <w:t xml:space="preserve">reporting </w:t>
      </w:r>
      <w:r w:rsidRPr="00D24291">
        <w:rPr>
          <w:rFonts w:eastAsia="Times New Roman"/>
        </w:rPr>
        <w:t>requirements is the</w:t>
      </w:r>
      <w:r>
        <w:rPr>
          <w:rFonts w:eastAsia="Times New Roman"/>
        </w:rPr>
        <w:t xml:space="preserve"> (generally monthly) timeframes for data reporting.</w:t>
      </w:r>
      <w:r w:rsidR="00F456FD" w:rsidRPr="00D24291" w:rsidDel="00F456FD">
        <w:rPr>
          <w:rFonts w:eastAsia="Times New Roman"/>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77"/>
        <w:gridCol w:w="4567"/>
      </w:tblGrid>
      <w:tr w:rsidR="00005F12" w14:paraId="7BB83F36" w14:textId="77777777" w:rsidTr="00572874">
        <w:tc>
          <w:tcPr>
            <w:tcW w:w="9144" w:type="dxa"/>
            <w:gridSpan w:val="2"/>
            <w:shd w:val="clear" w:color="auto" w:fill="002060"/>
          </w:tcPr>
          <w:p w14:paraId="3DDDA964" w14:textId="2B858AA7" w:rsidR="00005F12" w:rsidRPr="00A41C46" w:rsidRDefault="00A0727A" w:rsidP="00A0727A">
            <w:pPr>
              <w:jc w:val="center"/>
              <w:rPr>
                <w:b/>
                <w:color w:val="FFFFFF" w:themeColor="background1"/>
              </w:rPr>
            </w:pPr>
            <w:r>
              <w:rPr>
                <w:b/>
                <w:color w:val="FFFFFF" w:themeColor="background1"/>
              </w:rPr>
              <w:t>D</w:t>
            </w:r>
            <w:r w:rsidR="00005F12" w:rsidRPr="00A41C46">
              <w:rPr>
                <w:b/>
                <w:color w:val="FFFFFF" w:themeColor="background1"/>
              </w:rPr>
              <w:t>ata reporting timeframes</w:t>
            </w:r>
          </w:p>
        </w:tc>
      </w:tr>
      <w:tr w:rsidR="00005F12" w14:paraId="2989E664" w14:textId="77777777" w:rsidTr="00572874">
        <w:tc>
          <w:tcPr>
            <w:tcW w:w="4577" w:type="dxa"/>
            <w:shd w:val="clear" w:color="auto" w:fill="002060"/>
          </w:tcPr>
          <w:p w14:paraId="665DEB4F" w14:textId="77777777" w:rsidR="00005F12" w:rsidRPr="00A41C46" w:rsidRDefault="00005F12" w:rsidP="00983AE6">
            <w:pPr>
              <w:rPr>
                <w:b/>
                <w:color w:val="FFFFFF" w:themeColor="background1"/>
              </w:rPr>
            </w:pPr>
            <w:r w:rsidRPr="00A41C46">
              <w:rPr>
                <w:b/>
                <w:color w:val="FFFFFF" w:themeColor="background1"/>
              </w:rPr>
              <w:t>Data type</w:t>
            </w:r>
          </w:p>
        </w:tc>
        <w:tc>
          <w:tcPr>
            <w:tcW w:w="4567" w:type="dxa"/>
            <w:shd w:val="clear" w:color="auto" w:fill="002060"/>
          </w:tcPr>
          <w:p w14:paraId="3C1916BB" w14:textId="77777777" w:rsidR="00005F12" w:rsidRPr="00A41C46" w:rsidRDefault="00005F12" w:rsidP="00983AE6">
            <w:pPr>
              <w:rPr>
                <w:b/>
                <w:color w:val="FFFFFF" w:themeColor="background1"/>
              </w:rPr>
            </w:pPr>
            <w:r w:rsidRPr="00A41C46">
              <w:rPr>
                <w:b/>
                <w:color w:val="FFFFFF" w:themeColor="background1"/>
              </w:rPr>
              <w:t>Reporting timeframe</w:t>
            </w:r>
          </w:p>
        </w:tc>
      </w:tr>
      <w:tr w:rsidR="00005F12" w14:paraId="689B47C9" w14:textId="77777777" w:rsidTr="00572874">
        <w:tc>
          <w:tcPr>
            <w:tcW w:w="4577" w:type="dxa"/>
            <w:shd w:val="clear" w:color="auto" w:fill="D9D9D9" w:themeFill="background1" w:themeFillShade="D9"/>
          </w:tcPr>
          <w:p w14:paraId="2A5857BB" w14:textId="77777777" w:rsidR="00005F12" w:rsidRDefault="00005F12" w:rsidP="00983AE6">
            <w:r>
              <w:rPr>
                <w:rFonts w:eastAsia="Times New Roman"/>
              </w:rPr>
              <w:t>s</w:t>
            </w:r>
            <w:r w:rsidRPr="00736F23">
              <w:rPr>
                <w:rFonts w:eastAsia="Times New Roman"/>
              </w:rPr>
              <w:t>tudent enrolment data</w:t>
            </w:r>
          </w:p>
        </w:tc>
        <w:tc>
          <w:tcPr>
            <w:tcW w:w="4567" w:type="dxa"/>
            <w:shd w:val="clear" w:color="auto" w:fill="F2F2F2" w:themeFill="background1" w:themeFillShade="F2"/>
          </w:tcPr>
          <w:p w14:paraId="1A2A6CC3" w14:textId="77777777" w:rsidR="00005F12" w:rsidRDefault="00005F12" w:rsidP="00983AE6">
            <w:r>
              <w:t>monthly</w:t>
            </w:r>
          </w:p>
        </w:tc>
      </w:tr>
      <w:tr w:rsidR="00005F12" w14:paraId="08AAE259" w14:textId="77777777" w:rsidTr="00572874">
        <w:tc>
          <w:tcPr>
            <w:tcW w:w="4577" w:type="dxa"/>
            <w:shd w:val="clear" w:color="auto" w:fill="D9D9D9" w:themeFill="background1" w:themeFillShade="D9"/>
          </w:tcPr>
          <w:p w14:paraId="281DC6C8" w14:textId="77777777" w:rsidR="00005F12" w:rsidRDefault="00005F12" w:rsidP="00983AE6">
            <w:r>
              <w:rPr>
                <w:rFonts w:eastAsia="Times New Roman"/>
              </w:rPr>
              <w:t>c</w:t>
            </w:r>
            <w:r w:rsidRPr="00736F23">
              <w:rPr>
                <w:rFonts w:eastAsia="Times New Roman"/>
              </w:rPr>
              <w:t>ourse completions</w:t>
            </w:r>
          </w:p>
        </w:tc>
        <w:tc>
          <w:tcPr>
            <w:tcW w:w="4567" w:type="dxa"/>
            <w:shd w:val="clear" w:color="auto" w:fill="F2F2F2" w:themeFill="background1" w:themeFillShade="F2"/>
          </w:tcPr>
          <w:p w14:paraId="195FBB8D" w14:textId="77777777" w:rsidR="00005F12" w:rsidRDefault="00005F12" w:rsidP="00983AE6">
            <w:r>
              <w:t>monthly</w:t>
            </w:r>
          </w:p>
        </w:tc>
      </w:tr>
      <w:tr w:rsidR="00005F12" w14:paraId="5FDC0907" w14:textId="77777777" w:rsidTr="00572874">
        <w:tc>
          <w:tcPr>
            <w:tcW w:w="4577" w:type="dxa"/>
            <w:shd w:val="clear" w:color="auto" w:fill="D9D9D9" w:themeFill="background1" w:themeFillShade="D9"/>
          </w:tcPr>
          <w:p w14:paraId="1EBA26CF" w14:textId="14290546" w:rsidR="00005F12" w:rsidRDefault="00005F12" w:rsidP="00A41C46">
            <w:r>
              <w:rPr>
                <w:rFonts w:eastAsia="Times New Roman"/>
              </w:rPr>
              <w:t>u</w:t>
            </w:r>
            <w:r w:rsidRPr="00FF7717">
              <w:rPr>
                <w:rFonts w:eastAsia="Times New Roman"/>
              </w:rPr>
              <w:t xml:space="preserve">nit of study </w:t>
            </w:r>
            <w:r w:rsidR="00F119E2">
              <w:rPr>
                <w:rFonts w:eastAsia="Times New Roman"/>
              </w:rPr>
              <w:t>completions</w:t>
            </w:r>
            <w:r w:rsidR="00D54B97">
              <w:rPr>
                <w:rFonts w:eastAsia="Times New Roman"/>
              </w:rPr>
              <w:t>*</w:t>
            </w:r>
            <w:r w:rsidR="00F119E2">
              <w:rPr>
                <w:rFonts w:eastAsia="Times New Roman"/>
              </w:rPr>
              <w:t xml:space="preserve"> </w:t>
            </w:r>
            <w:r w:rsidR="00F456FD">
              <w:rPr>
                <w:rFonts w:eastAsia="Times New Roman"/>
              </w:rPr>
              <w:t>(ongoing)</w:t>
            </w:r>
          </w:p>
        </w:tc>
        <w:tc>
          <w:tcPr>
            <w:tcW w:w="4567" w:type="dxa"/>
            <w:shd w:val="clear" w:color="auto" w:fill="F2F2F2" w:themeFill="background1" w:themeFillShade="F2"/>
          </w:tcPr>
          <w:p w14:paraId="666F88B2" w14:textId="77777777" w:rsidR="00005F12" w:rsidRDefault="00005F12" w:rsidP="00983AE6">
            <w:r>
              <w:t>quarterly</w:t>
            </w:r>
          </w:p>
        </w:tc>
      </w:tr>
      <w:tr w:rsidR="00F456FD" w14:paraId="37A793E6" w14:textId="77777777" w:rsidTr="00572874">
        <w:tc>
          <w:tcPr>
            <w:tcW w:w="4577" w:type="dxa"/>
            <w:shd w:val="clear" w:color="auto" w:fill="D9D9D9" w:themeFill="background1" w:themeFillShade="D9"/>
          </w:tcPr>
          <w:p w14:paraId="17532EC2" w14:textId="188C9706" w:rsidR="00F456FD" w:rsidRDefault="00F456FD" w:rsidP="00F877F9">
            <w:pPr>
              <w:rPr>
                <w:rFonts w:eastAsia="Times New Roman"/>
              </w:rPr>
            </w:pPr>
            <w:r>
              <w:rPr>
                <w:rFonts w:eastAsia="Times New Roman"/>
              </w:rPr>
              <w:t>u</w:t>
            </w:r>
            <w:r w:rsidRPr="00FF7717">
              <w:rPr>
                <w:rFonts w:eastAsia="Times New Roman"/>
              </w:rPr>
              <w:t>nit of study completions</w:t>
            </w:r>
            <w:r w:rsidR="00D54B97">
              <w:rPr>
                <w:rFonts w:eastAsia="Times New Roman"/>
              </w:rPr>
              <w:t>*</w:t>
            </w:r>
            <w:r w:rsidR="00F119E2">
              <w:rPr>
                <w:rFonts w:eastAsia="Times New Roman"/>
              </w:rPr>
              <w:t xml:space="preserve"> </w:t>
            </w:r>
          </w:p>
        </w:tc>
        <w:tc>
          <w:tcPr>
            <w:tcW w:w="4567" w:type="dxa"/>
            <w:shd w:val="clear" w:color="auto" w:fill="F2F2F2" w:themeFill="background1" w:themeFillShade="F2"/>
          </w:tcPr>
          <w:p w14:paraId="6D357A74" w14:textId="77777777" w:rsidR="00F456FD" w:rsidRDefault="00F456FD" w:rsidP="00983AE6">
            <w:r>
              <w:t>monthly</w:t>
            </w:r>
          </w:p>
        </w:tc>
      </w:tr>
      <w:tr w:rsidR="00F456FD" w14:paraId="7E59AD4D" w14:textId="77777777" w:rsidTr="00572874">
        <w:tc>
          <w:tcPr>
            <w:tcW w:w="9144" w:type="dxa"/>
            <w:gridSpan w:val="2"/>
            <w:shd w:val="clear" w:color="auto" w:fill="F2F2F2" w:themeFill="background1" w:themeFillShade="F2"/>
          </w:tcPr>
          <w:p w14:paraId="193AC30E" w14:textId="218775C5" w:rsidR="00F456FD" w:rsidRDefault="00D54B97">
            <w:r>
              <w:rPr>
                <w:rFonts w:eastAsia="Times New Roman"/>
                <w:b/>
              </w:rPr>
              <w:t xml:space="preserve">*  </w:t>
            </w:r>
            <w:r w:rsidR="00F456FD" w:rsidRPr="00A41C46">
              <w:rPr>
                <w:rFonts w:eastAsia="Times New Roman"/>
                <w:b/>
              </w:rPr>
              <w:t>IMPORTANT NOTE:</w:t>
            </w:r>
            <w:r w:rsidR="00F456FD">
              <w:rPr>
                <w:rFonts w:eastAsia="Times New Roman"/>
              </w:rPr>
              <w:t xml:space="preserve"> </w:t>
            </w:r>
            <w:r>
              <w:rPr>
                <w:rFonts w:eastAsia="Times New Roman"/>
              </w:rPr>
              <w:t>T</w:t>
            </w:r>
            <w:r w:rsidR="00F456FD" w:rsidRPr="00E40940">
              <w:rPr>
                <w:rFonts w:eastAsia="Times New Roman"/>
                <w:color w:val="000000"/>
              </w:rPr>
              <w:t>he status of all units must be reported quarterly</w:t>
            </w:r>
            <w:r w:rsidR="00F456FD">
              <w:rPr>
                <w:rFonts w:eastAsia="Times New Roman"/>
                <w:color w:val="000000"/>
              </w:rPr>
              <w:t xml:space="preserve"> </w:t>
            </w:r>
            <w:r w:rsidR="00F456FD" w:rsidRPr="007C1EC3">
              <w:rPr>
                <w:rFonts w:eastAsia="Times New Roman"/>
                <w:b/>
                <w:color w:val="000000"/>
              </w:rPr>
              <w:t xml:space="preserve">while their status is </w:t>
            </w:r>
            <w:r w:rsidR="00F456FD" w:rsidRPr="00E40940">
              <w:rPr>
                <w:rFonts w:eastAsia="Times New Roman"/>
                <w:b/>
                <w:color w:val="000000"/>
              </w:rPr>
              <w:t>‘ongoing’</w:t>
            </w:r>
            <w:r>
              <w:rPr>
                <w:rFonts w:eastAsia="Times New Roman"/>
                <w:b/>
                <w:color w:val="000000"/>
              </w:rPr>
              <w:t xml:space="preserve"> (ie. Element 355, Code 4)</w:t>
            </w:r>
            <w:r w:rsidR="00F456FD" w:rsidRPr="00E40940">
              <w:rPr>
                <w:rFonts w:eastAsia="Times New Roman"/>
                <w:color w:val="000000"/>
              </w:rPr>
              <w:t xml:space="preserve">. Once a unit is completed, </w:t>
            </w:r>
            <w:r w:rsidR="00F456FD" w:rsidRPr="00E40940">
              <w:rPr>
                <w:rFonts w:eastAsia="Times New Roman"/>
                <w:b/>
                <w:color w:val="000000"/>
              </w:rPr>
              <w:t>its status changes from ‘ongoing’ to a completed status</w:t>
            </w:r>
            <w:r>
              <w:rPr>
                <w:rFonts w:eastAsia="Times New Roman"/>
                <w:b/>
                <w:color w:val="000000"/>
              </w:rPr>
              <w:t xml:space="preserve"> (Element 355, Codes 1, 2, 3 or 5)</w:t>
            </w:r>
            <w:r w:rsidR="00F456FD" w:rsidRPr="00E40940">
              <w:rPr>
                <w:rFonts w:eastAsia="Times New Roman"/>
                <w:color w:val="000000"/>
              </w:rPr>
              <w:t>, providers should not wait until the next quar</w:t>
            </w:r>
            <w:r w:rsidR="00F456FD" w:rsidRPr="008B0531">
              <w:rPr>
                <w:rFonts w:eastAsia="Times New Roman"/>
                <w:color w:val="000000"/>
              </w:rPr>
              <w:t>terly reporting date</w:t>
            </w:r>
            <w:r w:rsidR="00F456FD" w:rsidRPr="00E40940">
              <w:rPr>
                <w:rFonts w:eastAsia="Times New Roman"/>
                <w:color w:val="000000"/>
              </w:rPr>
              <w:t xml:space="preserve"> but </w:t>
            </w:r>
            <w:r w:rsidR="00F456FD" w:rsidRPr="00E40940">
              <w:rPr>
                <w:rFonts w:eastAsia="Times New Roman"/>
                <w:b/>
                <w:color w:val="000000"/>
              </w:rPr>
              <w:t>report this change by the next monthly reporting date</w:t>
            </w:r>
            <w:r w:rsidR="00F456FD">
              <w:rPr>
                <w:rFonts w:eastAsia="Times New Roman"/>
                <w:b/>
                <w:color w:val="000000"/>
              </w:rPr>
              <w:t xml:space="preserve">; </w:t>
            </w:r>
            <w:r w:rsidR="00F456FD" w:rsidRPr="00A41C46">
              <w:rPr>
                <w:rFonts w:eastAsia="Times New Roman"/>
                <w:color w:val="000000"/>
              </w:rPr>
              <w:t>that is</w:t>
            </w:r>
            <w:r w:rsidR="00F456FD">
              <w:rPr>
                <w:rFonts w:eastAsia="Times New Roman"/>
                <w:b/>
                <w:color w:val="000000"/>
              </w:rPr>
              <w:t xml:space="preserve"> </w:t>
            </w:r>
            <w:r w:rsidR="00F456FD" w:rsidRPr="00FF7717">
              <w:rPr>
                <w:rFonts w:eastAsia="Times New Roman"/>
              </w:rPr>
              <w:t xml:space="preserve">the 7th </w:t>
            </w:r>
            <w:r w:rsidR="00F456FD">
              <w:rPr>
                <w:rFonts w:eastAsia="Times New Roman"/>
              </w:rPr>
              <w:t xml:space="preserve">day </w:t>
            </w:r>
            <w:r w:rsidR="00F456FD" w:rsidRPr="00FF7717">
              <w:rPr>
                <w:rFonts w:eastAsia="Times New Roman"/>
              </w:rPr>
              <w:t>of the following month</w:t>
            </w:r>
            <w:r w:rsidR="00F456FD">
              <w:rPr>
                <w:rFonts w:eastAsia="Times New Roman"/>
              </w:rPr>
              <w:t>.</w:t>
            </w:r>
          </w:p>
        </w:tc>
      </w:tr>
    </w:tbl>
    <w:p w14:paraId="11D29564" w14:textId="0641B060" w:rsidR="00983AE6" w:rsidRPr="00704946" w:rsidRDefault="00983AE6" w:rsidP="00993767">
      <w:pPr>
        <w:spacing w:after="120"/>
        <w:rPr>
          <w:rFonts w:eastAsia="Times New Roman"/>
          <w:color w:val="000000"/>
        </w:rPr>
      </w:pPr>
      <w:r w:rsidRPr="00D24291">
        <w:rPr>
          <w:rFonts w:eastAsia="Times New Roman"/>
          <w:color w:val="000000"/>
        </w:rPr>
        <w:t>Further details of reporting requirements, and all documents referred to in the Notice</w:t>
      </w:r>
      <w:r w:rsidR="00D54B97">
        <w:rPr>
          <w:rFonts w:eastAsia="Times New Roman"/>
          <w:color w:val="000000"/>
        </w:rPr>
        <w:t>, are available</w:t>
      </w:r>
      <w:r w:rsidRPr="00D24291">
        <w:rPr>
          <w:rFonts w:eastAsia="Times New Roman"/>
          <w:color w:val="000000"/>
        </w:rPr>
        <w:t xml:space="preserve"> </w:t>
      </w:r>
      <w:r w:rsidR="00F456FD">
        <w:rPr>
          <w:rFonts w:eastAsia="Times New Roman"/>
          <w:color w:val="000000"/>
        </w:rPr>
        <w:t>at</w:t>
      </w:r>
      <w:r w:rsidR="00D54B97">
        <w:rPr>
          <w:rFonts w:eastAsia="Times New Roman"/>
          <w:color w:val="000000"/>
        </w:rPr>
        <w:t xml:space="preserve"> the</w:t>
      </w:r>
      <w:r>
        <w:rPr>
          <w:rFonts w:eastAsia="Times New Roman"/>
          <w:color w:val="000000"/>
        </w:rPr>
        <w:t xml:space="preserve"> </w:t>
      </w:r>
      <w:r w:rsidRPr="002A6A17">
        <w:t>‘</w:t>
      </w:r>
      <w:hyperlink r:id="rId113" w:history="1">
        <w:r w:rsidRPr="002A6A17">
          <w:rPr>
            <w:rStyle w:val="Hyperlink"/>
          </w:rPr>
          <w:t>VET Data Collections - 2017 Reporting Requirements</w:t>
        </w:r>
      </w:hyperlink>
      <w:r w:rsidRPr="002A6A17">
        <w:t>’</w:t>
      </w:r>
      <w:r w:rsidRPr="00704946">
        <w:t xml:space="preserve"> page </w:t>
      </w:r>
      <w:r w:rsidR="002478CE">
        <w:t>and the ‘</w:t>
      </w:r>
      <w:hyperlink r:id="rId114" w:anchor="nav" w:history="1">
        <w:r w:rsidR="002478CE" w:rsidRPr="002478CE">
          <w:rPr>
            <w:rStyle w:val="Hyperlink"/>
          </w:rPr>
          <w:t>VET D</w:t>
        </w:r>
        <w:r w:rsidR="00D54B97" w:rsidRPr="002478CE">
          <w:rPr>
            <w:rStyle w:val="Hyperlink"/>
          </w:rPr>
          <w:t>at</w:t>
        </w:r>
        <w:r w:rsidR="002478CE" w:rsidRPr="002478CE">
          <w:rPr>
            <w:rStyle w:val="Hyperlink"/>
          </w:rPr>
          <w:t>a Collections – 2018 Reporting Requirements</w:t>
        </w:r>
      </w:hyperlink>
      <w:r w:rsidR="002478CE">
        <w:t>’ page at</w:t>
      </w:r>
      <w:r w:rsidR="00D54B97">
        <w:t xml:space="preserve"> the</w:t>
      </w:r>
      <w:r w:rsidRPr="00704946">
        <w:t xml:space="preserve"> HEIMSHELP</w:t>
      </w:r>
      <w:r>
        <w:t xml:space="preserve"> </w:t>
      </w:r>
      <w:r w:rsidR="00D54B97">
        <w:t>site</w:t>
      </w:r>
      <w:r w:rsidR="00F456FD">
        <w:t>.</w:t>
      </w:r>
    </w:p>
    <w:p w14:paraId="32A8D3B5" w14:textId="6FCD4BAE" w:rsidR="00983AE6" w:rsidRPr="00736F23" w:rsidRDefault="00983AE6" w:rsidP="00993767">
      <w:pPr>
        <w:pStyle w:val="Heading3"/>
      </w:pPr>
      <w:bookmarkStart w:id="4142" w:name="_4.14.5__"/>
      <w:bookmarkStart w:id="4143" w:name="_Toc483222950"/>
      <w:bookmarkStart w:id="4144" w:name="_Toc501621260"/>
      <w:bookmarkEnd w:id="4142"/>
      <w:r>
        <w:t>4.14.5</w:t>
      </w:r>
      <w:r w:rsidR="00AF3E72">
        <w:t xml:space="preserve"> </w:t>
      </w:r>
      <w:r w:rsidR="00AF3E72">
        <w:tab/>
      </w:r>
      <w:r w:rsidRPr="00736F23">
        <w:t>Publishing data</w:t>
      </w:r>
      <w:bookmarkEnd w:id="4143"/>
      <w:bookmarkEnd w:id="4144"/>
    </w:p>
    <w:p w14:paraId="11CE87CB" w14:textId="77777777" w:rsidR="00983AE6" w:rsidRPr="00736F23" w:rsidRDefault="00983AE6" w:rsidP="00993767">
      <w:pPr>
        <w:spacing w:after="120"/>
      </w:pPr>
      <w:r w:rsidRPr="00736F23">
        <w:t xml:space="preserve">The Secretary </w:t>
      </w:r>
      <w:r>
        <w:t xml:space="preserve">is required to </w:t>
      </w:r>
      <w:r w:rsidRPr="00736F23">
        <w:t>publish information relating to the operation of the V</w:t>
      </w:r>
      <w:r>
        <w:t xml:space="preserve">ET </w:t>
      </w:r>
      <w:r w:rsidRPr="00736F23">
        <w:t>S</w:t>
      </w:r>
      <w:r>
        <w:t xml:space="preserve">tudent </w:t>
      </w:r>
      <w:r w:rsidRPr="00736F23">
        <w:t>L</w:t>
      </w:r>
      <w:r>
        <w:t>oans</w:t>
      </w:r>
      <w:r w:rsidRPr="00736F23">
        <w:t xml:space="preserve"> Program within 42 days after the end o</w:t>
      </w:r>
      <w:r>
        <w:t>f the period of 6 months after 1 </w:t>
      </w:r>
      <w:r w:rsidRPr="00736F23">
        <w:t>January and 1 July in each year. The information to be published includes:</w:t>
      </w:r>
    </w:p>
    <w:p w14:paraId="3B3C43B3" w14:textId="77777777" w:rsidR="00983AE6" w:rsidRPr="00736F23" w:rsidRDefault="00983AE6" w:rsidP="00A0727A">
      <w:pPr>
        <w:pStyle w:val="ListBullet"/>
        <w:numPr>
          <w:ilvl w:val="0"/>
          <w:numId w:val="74"/>
        </w:numPr>
      </w:pPr>
      <w:r w:rsidRPr="00736F23">
        <w:t xml:space="preserve">the number of approved </w:t>
      </w:r>
      <w:r>
        <w:t xml:space="preserve">course </w:t>
      </w:r>
      <w:r w:rsidRPr="00736F23">
        <w:t xml:space="preserve">providers </w:t>
      </w:r>
      <w:r>
        <w:t>that</w:t>
      </w:r>
      <w:r w:rsidRPr="00736F23">
        <w:t xml:space="preserve"> operated during the reporting period </w:t>
      </w:r>
    </w:p>
    <w:p w14:paraId="11FDF269" w14:textId="77777777" w:rsidR="00983AE6" w:rsidRPr="00736F23" w:rsidRDefault="00983AE6" w:rsidP="00A0727A">
      <w:pPr>
        <w:pStyle w:val="ListBullet"/>
        <w:numPr>
          <w:ilvl w:val="0"/>
          <w:numId w:val="74"/>
        </w:numPr>
      </w:pPr>
      <w:r w:rsidRPr="00736F23">
        <w:t>for each of those providers</w:t>
      </w:r>
      <w:r>
        <w:t xml:space="preserve"> </w:t>
      </w:r>
      <w:r w:rsidRPr="002A6A17">
        <w:rPr>
          <w:rStyle w:val="ReferenceChar"/>
        </w:rPr>
        <w:t>[Act s 103A]</w:t>
      </w:r>
      <w:r w:rsidRPr="002A6A17">
        <w:t>:</w:t>
      </w:r>
    </w:p>
    <w:p w14:paraId="56496B74" w14:textId="77777777" w:rsidR="00983AE6" w:rsidRPr="00736F23" w:rsidRDefault="00983AE6" w:rsidP="00A0727A">
      <w:pPr>
        <w:pStyle w:val="ListBullet2"/>
        <w:numPr>
          <w:ilvl w:val="1"/>
          <w:numId w:val="53"/>
        </w:numPr>
      </w:pPr>
      <w:r w:rsidRPr="00736F23">
        <w:t>the name of the provider; and</w:t>
      </w:r>
    </w:p>
    <w:p w14:paraId="59AC1BA7" w14:textId="77777777" w:rsidR="00983AE6" w:rsidRPr="00736F23" w:rsidRDefault="00983AE6" w:rsidP="00A0727A">
      <w:pPr>
        <w:pStyle w:val="ListBullet2"/>
        <w:numPr>
          <w:ilvl w:val="1"/>
          <w:numId w:val="53"/>
        </w:numPr>
      </w:pPr>
      <w:r w:rsidRPr="00736F23">
        <w:t xml:space="preserve">the value of </w:t>
      </w:r>
      <w:r w:rsidR="00454ED5">
        <w:t>VET Student Loans</w:t>
      </w:r>
      <w:r w:rsidRPr="00736F23">
        <w:t xml:space="preserve"> approved by the Secretary for approved courses offered by the provider during the reporting period; and</w:t>
      </w:r>
    </w:p>
    <w:p w14:paraId="3AADBFB1" w14:textId="77777777" w:rsidR="00983AE6" w:rsidRPr="00736F23" w:rsidRDefault="00983AE6" w:rsidP="00A0727A">
      <w:pPr>
        <w:pStyle w:val="ListBullet2"/>
        <w:numPr>
          <w:ilvl w:val="1"/>
          <w:numId w:val="53"/>
        </w:numPr>
        <w:rPr>
          <w:rFonts w:eastAsiaTheme="minorHAnsi"/>
          <w:lang w:eastAsia="en-AU"/>
        </w:rPr>
      </w:pPr>
      <w:r w:rsidRPr="00736F23">
        <w:rPr>
          <w:spacing w:val="-1"/>
        </w:rPr>
        <w:t>the</w:t>
      </w:r>
      <w:r w:rsidRPr="00736F23">
        <w:rPr>
          <w:rFonts w:eastAsiaTheme="minorHAnsi"/>
          <w:lang w:eastAsia="en-AU"/>
        </w:rPr>
        <w:t xml:space="preserve"> number of students who undertook approved courses offered by the provider during the reporting period and whose tuition fees for the courses were paid (whether in whole or in part) using </w:t>
      </w:r>
      <w:r w:rsidR="00454ED5">
        <w:rPr>
          <w:rFonts w:eastAsiaTheme="minorHAnsi"/>
          <w:lang w:eastAsia="en-AU"/>
        </w:rPr>
        <w:t>VET Student Loans</w:t>
      </w:r>
      <w:r w:rsidRPr="00736F23">
        <w:rPr>
          <w:rFonts w:eastAsiaTheme="minorHAnsi"/>
          <w:lang w:eastAsia="en-AU"/>
        </w:rPr>
        <w:t xml:space="preserve">; and </w:t>
      </w:r>
    </w:p>
    <w:p w14:paraId="369FC3F7" w14:textId="77777777" w:rsidR="00983AE6" w:rsidRPr="00FF7717" w:rsidRDefault="00983AE6" w:rsidP="00A0727A">
      <w:pPr>
        <w:pStyle w:val="ListBullet2"/>
        <w:numPr>
          <w:ilvl w:val="1"/>
          <w:numId w:val="53"/>
        </w:numPr>
        <w:rPr>
          <w:rFonts w:eastAsiaTheme="minorHAnsi"/>
          <w:lang w:eastAsia="en-AU"/>
        </w:rPr>
      </w:pPr>
      <w:r w:rsidRPr="00736F23">
        <w:rPr>
          <w:rFonts w:eastAsiaTheme="minorHAnsi"/>
          <w:lang w:eastAsia="en-AU"/>
        </w:rPr>
        <w:t xml:space="preserve">the number of such students who completed approved courses during the reporting period; and </w:t>
      </w:r>
    </w:p>
    <w:p w14:paraId="2A2DAC54" w14:textId="77777777" w:rsidR="00983AE6" w:rsidRPr="00736F23" w:rsidRDefault="00983AE6" w:rsidP="00A0727A">
      <w:pPr>
        <w:pStyle w:val="ListBullet2"/>
        <w:numPr>
          <w:ilvl w:val="1"/>
          <w:numId w:val="53"/>
        </w:numPr>
        <w:rPr>
          <w:rFonts w:eastAsiaTheme="minorHAnsi"/>
          <w:lang w:eastAsia="en-AU"/>
        </w:rPr>
      </w:pPr>
      <w:r w:rsidRPr="00FF7717">
        <w:rPr>
          <w:rFonts w:eastAsiaTheme="minorHAnsi"/>
          <w:lang w:eastAsia="en-AU"/>
        </w:rPr>
        <w:t>the amount of tuition fees charged to such students by the provider during the</w:t>
      </w:r>
      <w:r>
        <w:rPr>
          <w:rFonts w:eastAsiaTheme="minorHAnsi"/>
          <w:lang w:eastAsia="en-AU"/>
        </w:rPr>
        <w:t xml:space="preserve"> </w:t>
      </w:r>
      <w:r w:rsidRPr="00FF7717">
        <w:rPr>
          <w:rFonts w:eastAsiaTheme="minorHAnsi"/>
          <w:lang w:eastAsia="en-AU"/>
        </w:rPr>
        <w:t>reporting period</w:t>
      </w:r>
      <w:r>
        <w:rPr>
          <w:rFonts w:eastAsiaTheme="minorHAnsi"/>
          <w:lang w:eastAsia="en-AU"/>
        </w:rPr>
        <w:t>.</w:t>
      </w:r>
      <w:r w:rsidRPr="00FF7717">
        <w:rPr>
          <w:rFonts w:eastAsiaTheme="minorHAnsi"/>
          <w:lang w:eastAsia="en-AU"/>
        </w:rPr>
        <w:t xml:space="preserve"> </w:t>
      </w:r>
    </w:p>
    <w:p w14:paraId="62B39D88" w14:textId="1A53F721" w:rsidR="00D96E31" w:rsidRDefault="00046D0F" w:rsidP="007A6485">
      <w:pPr>
        <w:pStyle w:val="Normal-aftertable"/>
      </w:pPr>
      <w:bookmarkStart w:id="4145" w:name="_Toc474924650"/>
      <w:bookmarkStart w:id="4146" w:name="_Toc475444260"/>
      <w:bookmarkStart w:id="4147" w:name="_Toc475444351"/>
      <w:bookmarkStart w:id="4148" w:name="_Toc477425536"/>
      <w:bookmarkStart w:id="4149" w:name="_Toc477425868"/>
      <w:bookmarkStart w:id="4150" w:name="_Toc477505906"/>
      <w:bookmarkStart w:id="4151" w:name="_Toc477960047"/>
      <w:bookmarkStart w:id="4152" w:name="_Toc477960490"/>
      <w:bookmarkStart w:id="4153" w:name="_Toc477960930"/>
      <w:bookmarkStart w:id="4154" w:name="_Toc477961369"/>
      <w:bookmarkStart w:id="4155" w:name="_Toc477961852"/>
      <w:bookmarkStart w:id="4156" w:name="_Toc477962339"/>
      <w:bookmarkStart w:id="4157" w:name="_Toc477962826"/>
      <w:bookmarkStart w:id="4158" w:name="_Toc477963312"/>
      <w:bookmarkStart w:id="4159" w:name="_Toc477963808"/>
      <w:bookmarkStart w:id="4160" w:name="_Toc478043010"/>
      <w:bookmarkStart w:id="4161" w:name="_Toc478367261"/>
      <w:bookmarkStart w:id="4162" w:name="_Toc479083873"/>
      <w:bookmarkStart w:id="4163" w:name="_Toc474924651"/>
      <w:bookmarkStart w:id="4164" w:name="_Toc475444261"/>
      <w:bookmarkStart w:id="4165" w:name="_Toc475444352"/>
      <w:bookmarkStart w:id="4166" w:name="_Toc477425537"/>
      <w:bookmarkStart w:id="4167" w:name="_Toc477425869"/>
      <w:bookmarkStart w:id="4168" w:name="_Toc477505907"/>
      <w:bookmarkStart w:id="4169" w:name="_Toc477960048"/>
      <w:bookmarkStart w:id="4170" w:name="_Toc477960491"/>
      <w:bookmarkStart w:id="4171" w:name="_Toc477960931"/>
      <w:bookmarkStart w:id="4172" w:name="_Toc477961370"/>
      <w:bookmarkStart w:id="4173" w:name="_Toc477961853"/>
      <w:bookmarkStart w:id="4174" w:name="_Toc477962340"/>
      <w:bookmarkStart w:id="4175" w:name="_Toc477962827"/>
      <w:bookmarkStart w:id="4176" w:name="_Toc477963313"/>
      <w:bookmarkStart w:id="4177" w:name="_Toc477963809"/>
      <w:bookmarkStart w:id="4178" w:name="_Toc478043011"/>
      <w:bookmarkStart w:id="4179" w:name="_Toc478367262"/>
      <w:bookmarkStart w:id="4180" w:name="_Toc479083874"/>
      <w:bookmarkStart w:id="4181" w:name="_Toc471285800"/>
      <w:bookmarkStart w:id="4182" w:name="_Toc471300422"/>
      <w:bookmarkStart w:id="4183" w:name="_Toc471305922"/>
      <w:bookmarkStart w:id="4184" w:name="_Toc471306522"/>
      <w:bookmarkStart w:id="4185" w:name="_Toc471307038"/>
      <w:bookmarkStart w:id="4186" w:name="_Toc471307811"/>
      <w:bookmarkStart w:id="4187" w:name="_Toc471368960"/>
      <w:bookmarkStart w:id="4188" w:name="_Toc471374310"/>
      <w:bookmarkStart w:id="4189" w:name="_Toc471374614"/>
      <w:bookmarkStart w:id="4190" w:name="_Electronic_communications"/>
      <w:bookmarkStart w:id="4191" w:name="_Toc471374615"/>
      <w:bookmarkStart w:id="4192" w:name="_Toc477960049"/>
      <w:bookmarkStart w:id="4193" w:name="_Toc483222951"/>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r w:rsidRPr="00B945EE">
        <w:t xml:space="preserve">Providers </w:t>
      </w:r>
      <w:r w:rsidR="00CD72FB" w:rsidRPr="00B945EE">
        <w:t>may</w:t>
      </w:r>
      <w:r w:rsidRPr="00B945EE">
        <w:t xml:space="preserve"> view VET Student Loans </w:t>
      </w:r>
      <w:r w:rsidR="00CD72FB" w:rsidRPr="00B945EE">
        <w:t xml:space="preserve">Statistical reports </w:t>
      </w:r>
      <w:r w:rsidRPr="00B945EE">
        <w:t xml:space="preserve">via a link from </w:t>
      </w:r>
      <w:hyperlink r:id="rId115" w:history="1">
        <w:r w:rsidRPr="00B945EE">
          <w:rPr>
            <w:u w:val="single"/>
          </w:rPr>
          <w:t>www.education.gov.au/vet-student-loans</w:t>
        </w:r>
      </w:hyperlink>
      <w:r w:rsidRPr="00B945EE">
        <w:t>. For VET FEE-HELP statistics, providers are able to access the reports from</w:t>
      </w:r>
      <w:r w:rsidRPr="00B945EE">
        <w:rPr>
          <w:b/>
          <w:bCs/>
        </w:rPr>
        <w:t xml:space="preserve"> </w:t>
      </w:r>
      <w:hyperlink r:id="rId116" w:history="1">
        <w:r w:rsidR="00D96E31" w:rsidRPr="00B945EE">
          <w:rPr>
            <w:bCs/>
            <w:color w:val="002060"/>
            <w:u w:val="single"/>
          </w:rPr>
          <w:t>www.education.gov.au/vet-fee-help-statistics</w:t>
        </w:r>
      </w:hyperlink>
      <w:r w:rsidRPr="00B945EE">
        <w:rPr>
          <w:rFonts w:eastAsiaTheme="minorEastAsia"/>
          <w:b/>
          <w:bCs/>
        </w:rPr>
        <w:t>.</w:t>
      </w:r>
      <w:r w:rsidRPr="00817854">
        <w:rPr>
          <w:b/>
          <w:bCs/>
        </w:rPr>
        <w:t xml:space="preserve"> </w:t>
      </w:r>
      <w:r w:rsidRPr="00515459">
        <w:rPr>
          <w:rFonts w:eastAsia="Calibri"/>
        </w:rPr>
        <w:t xml:space="preserve"> </w:t>
      </w:r>
    </w:p>
    <w:p w14:paraId="1FAF5C26" w14:textId="09B5DDFF" w:rsidR="00983AE6" w:rsidRPr="00736F23" w:rsidRDefault="00E11099" w:rsidP="00E40940">
      <w:pPr>
        <w:pStyle w:val="Heading3"/>
      </w:pPr>
      <w:bookmarkStart w:id="4194" w:name="_Toc501621261"/>
      <w:r>
        <w:t>4.14.6</w:t>
      </w:r>
      <w:r w:rsidR="00AF3E72">
        <w:t xml:space="preserve"> </w:t>
      </w:r>
      <w:r w:rsidR="00AF3E72">
        <w:tab/>
      </w:r>
      <w:r w:rsidR="00983AE6">
        <w:t>Electronic</w:t>
      </w:r>
      <w:r w:rsidR="00983AE6" w:rsidRPr="00736F23">
        <w:t xml:space="preserve"> communications</w:t>
      </w:r>
      <w:bookmarkEnd w:id="4191"/>
      <w:bookmarkEnd w:id="4192"/>
      <w:bookmarkEnd w:id="4193"/>
      <w:bookmarkEnd w:id="4194"/>
    </w:p>
    <w:p w14:paraId="256EED4E" w14:textId="0397EC86" w:rsidR="00983AE6" w:rsidRDefault="00983AE6" w:rsidP="00983AE6">
      <w:bookmarkStart w:id="4195" w:name="_Toc471374616"/>
      <w:r w:rsidRPr="00736F23">
        <w:t>If a student is required or permitted to sign an electronic communication to a provider, the provider must have in place a method the student can use to identify him</w:t>
      </w:r>
      <w:r w:rsidR="00817854">
        <w:t xml:space="preserve"> </w:t>
      </w:r>
      <w:r w:rsidRPr="00736F23">
        <w:t>or herself in the communication and to indicate his or her approval of the information communicated</w:t>
      </w:r>
      <w:r>
        <w:t xml:space="preserve"> </w:t>
      </w:r>
      <w:r w:rsidRPr="002A6A17">
        <w:rPr>
          <w:rStyle w:val="ReferenceChar"/>
        </w:rPr>
        <w:t>[Rules s 151]</w:t>
      </w:r>
      <w:r w:rsidRPr="00736F23">
        <w:t>.</w:t>
      </w:r>
    </w:p>
    <w:p w14:paraId="2B929876" w14:textId="4306C486" w:rsidR="00983AE6" w:rsidRDefault="00983AE6" w:rsidP="00983AE6">
      <w:r w:rsidRPr="00736F23">
        <w:t>Where the method is used, the student is taken to have signed the communication and indicated their approval of the information.</w:t>
      </w:r>
      <w:bookmarkEnd w:id="4195"/>
    </w:p>
    <w:p w14:paraId="31EFB984" w14:textId="77777777" w:rsidR="00983AE6" w:rsidRDefault="00983AE6" w:rsidP="00983AE6">
      <w:r>
        <w:t>For example the identification method could involve the student using a student identification number issued by the provider. However, where it does, the provider must:</w:t>
      </w:r>
    </w:p>
    <w:p w14:paraId="54ACBDD7" w14:textId="77777777" w:rsidR="00983AE6" w:rsidRDefault="00983AE6" w:rsidP="00A0727A">
      <w:pPr>
        <w:pStyle w:val="ListBullet"/>
        <w:numPr>
          <w:ilvl w:val="0"/>
          <w:numId w:val="74"/>
        </w:numPr>
      </w:pPr>
      <w:r>
        <w:lastRenderedPageBreak/>
        <w:t>verify the identity of each student to whom it issues a student identification number, and</w:t>
      </w:r>
    </w:p>
    <w:p w14:paraId="01FBC67D" w14:textId="77777777" w:rsidR="00983AE6" w:rsidRDefault="00983AE6" w:rsidP="00A0727A">
      <w:pPr>
        <w:pStyle w:val="ListBullet"/>
        <w:numPr>
          <w:ilvl w:val="0"/>
          <w:numId w:val="74"/>
        </w:numPr>
      </w:pPr>
      <w:r>
        <w:t>take all reasonable precautions to ensure there is no unauthorised access to, or use of, a student identification number issued by the provider, and</w:t>
      </w:r>
    </w:p>
    <w:p w14:paraId="32FA53AC" w14:textId="77777777" w:rsidR="00983AE6" w:rsidRDefault="00983AE6" w:rsidP="00A0727A">
      <w:pPr>
        <w:pStyle w:val="ListBullet"/>
        <w:numPr>
          <w:ilvl w:val="0"/>
          <w:numId w:val="74"/>
        </w:numPr>
      </w:pPr>
      <w:r>
        <w:t xml:space="preserve">ensure that each student to whom it issues a student identification number is advised that the student is personally responsible for protecting their student identification number.  </w:t>
      </w:r>
    </w:p>
    <w:p w14:paraId="4868B20C" w14:textId="77777777" w:rsidR="00983AE6" w:rsidRPr="00736F23" w:rsidRDefault="00983AE6" w:rsidP="00983AE6">
      <w:r w:rsidRPr="00736F23">
        <w:t>Electronic communications between providers and students or between providers and the Commonwealth must be conducted by means of systems that:</w:t>
      </w:r>
    </w:p>
    <w:p w14:paraId="7383488E" w14:textId="77777777" w:rsidR="00983AE6" w:rsidRPr="00736F23" w:rsidRDefault="00983AE6" w:rsidP="00A0727A">
      <w:pPr>
        <w:pStyle w:val="ListBullet"/>
        <w:numPr>
          <w:ilvl w:val="0"/>
          <w:numId w:val="74"/>
        </w:numPr>
      </w:pPr>
      <w:r w:rsidRPr="00736F23">
        <w:t xml:space="preserve">are secure </w:t>
      </w:r>
    </w:p>
    <w:p w14:paraId="0E835365" w14:textId="77777777" w:rsidR="00983AE6" w:rsidRPr="00736F23" w:rsidRDefault="00983AE6" w:rsidP="00A0727A">
      <w:pPr>
        <w:pStyle w:val="ListBullet"/>
        <w:numPr>
          <w:ilvl w:val="0"/>
          <w:numId w:val="74"/>
        </w:numPr>
      </w:pPr>
      <w:r w:rsidRPr="00736F23">
        <w:t>provide for disaster recovery and</w:t>
      </w:r>
    </w:p>
    <w:p w14:paraId="5F22FB11" w14:textId="77777777" w:rsidR="00983AE6" w:rsidRPr="00AA1E4F" w:rsidRDefault="00983AE6" w:rsidP="00A0727A">
      <w:pPr>
        <w:pStyle w:val="ListBullet"/>
        <w:numPr>
          <w:ilvl w:val="0"/>
          <w:numId w:val="74"/>
        </w:numPr>
        <w:rPr>
          <w:b/>
        </w:rPr>
      </w:pPr>
      <w:r w:rsidRPr="00736F23">
        <w:t>are sufficiently up to date</w:t>
      </w:r>
      <w:r w:rsidRPr="00C75CFC">
        <w:rPr>
          <w:color w:val="3333FF"/>
          <w:sz w:val="16"/>
          <w:szCs w:val="16"/>
        </w:rPr>
        <w:t xml:space="preserve"> </w:t>
      </w:r>
      <w:r w:rsidRPr="002A6A17">
        <w:rPr>
          <w:rStyle w:val="ReferenceChar"/>
        </w:rPr>
        <w:t>[Rules s</w:t>
      </w:r>
      <w:r w:rsidR="00C672EC">
        <w:rPr>
          <w:rStyle w:val="ReferenceChar"/>
        </w:rPr>
        <w:t xml:space="preserve"> </w:t>
      </w:r>
      <w:r w:rsidRPr="002A6A17">
        <w:rPr>
          <w:rStyle w:val="ReferenceChar"/>
        </w:rPr>
        <w:t>154]</w:t>
      </w:r>
      <w:r w:rsidRPr="008B2568">
        <w:rPr>
          <w:b/>
        </w:rPr>
        <w:t>.</w:t>
      </w:r>
    </w:p>
    <w:p w14:paraId="07977DB3" w14:textId="35484F84" w:rsidR="00983AE6" w:rsidRPr="00736F23" w:rsidRDefault="003C648C" w:rsidP="00983AE6">
      <w:pPr>
        <w:pStyle w:val="Heading3"/>
      </w:pPr>
      <w:bookmarkStart w:id="4196" w:name="_Toc481649947"/>
      <w:bookmarkStart w:id="4197" w:name="_Toc481650423"/>
      <w:bookmarkStart w:id="4198" w:name="_Toc481649948"/>
      <w:bookmarkStart w:id="4199" w:name="_Toc481650424"/>
      <w:bookmarkStart w:id="4200" w:name="_Toc478367265"/>
      <w:bookmarkStart w:id="4201" w:name="_Toc479083877"/>
      <w:bookmarkStart w:id="4202" w:name="_Toc471374618"/>
      <w:bookmarkStart w:id="4203" w:name="_Toc483222952"/>
      <w:bookmarkStart w:id="4204" w:name="_Toc501621262"/>
      <w:bookmarkEnd w:id="4196"/>
      <w:bookmarkEnd w:id="4197"/>
      <w:bookmarkEnd w:id="4198"/>
      <w:bookmarkEnd w:id="4199"/>
      <w:bookmarkEnd w:id="4200"/>
      <w:bookmarkEnd w:id="4201"/>
      <w:r>
        <w:t>4.14.7</w:t>
      </w:r>
      <w:r w:rsidR="00AF3E72">
        <w:t xml:space="preserve"> </w:t>
      </w:r>
      <w:r w:rsidR="00AF3E72">
        <w:tab/>
      </w:r>
      <w:r w:rsidR="00983AE6" w:rsidRPr="00736F23">
        <w:t>Electronic communications between student</w:t>
      </w:r>
      <w:r w:rsidR="00983AE6">
        <w:t>s</w:t>
      </w:r>
      <w:r w:rsidR="00983AE6" w:rsidRPr="00736F23">
        <w:t xml:space="preserve"> and providers</w:t>
      </w:r>
      <w:bookmarkEnd w:id="4202"/>
      <w:bookmarkEnd w:id="4203"/>
      <w:bookmarkEnd w:id="4204"/>
    </w:p>
    <w:p w14:paraId="59BDFFC3" w14:textId="766B036D" w:rsidR="00983AE6" w:rsidRPr="00736F23" w:rsidRDefault="00983AE6" w:rsidP="00983AE6">
      <w:bookmarkStart w:id="4205" w:name="_Toc471374619"/>
      <w:r w:rsidRPr="00736F23">
        <w:t xml:space="preserve">If a student is required or permitted to give information or a document to an approved </w:t>
      </w:r>
      <w:r>
        <w:t xml:space="preserve">course </w:t>
      </w:r>
      <w:r w:rsidRPr="00736F23">
        <w:t>provider by way of a fax, email</w:t>
      </w:r>
      <w:r>
        <w:t>,</w:t>
      </w:r>
      <w:r w:rsidRPr="00736F23">
        <w:t xml:space="preserve"> web-based communication or any other form of electronic communication, the provider must ensure that the information technology system to be used for giving the information is</w:t>
      </w:r>
      <w:r>
        <w:t xml:space="preserve"> </w:t>
      </w:r>
      <w:r w:rsidRPr="002A6A17">
        <w:rPr>
          <w:rStyle w:val="ReferenceChar"/>
        </w:rPr>
        <w:t>[Rules s 153]</w:t>
      </w:r>
      <w:r w:rsidRPr="00736F23">
        <w:t>:</w:t>
      </w:r>
      <w:bookmarkEnd w:id="4205"/>
    </w:p>
    <w:p w14:paraId="6909BD78" w14:textId="77777777" w:rsidR="00983AE6" w:rsidRPr="003A081D" w:rsidRDefault="00983AE6" w:rsidP="00A0727A">
      <w:pPr>
        <w:pStyle w:val="ListBullet"/>
        <w:numPr>
          <w:ilvl w:val="0"/>
          <w:numId w:val="74"/>
        </w:numPr>
      </w:pPr>
      <w:r w:rsidRPr="003A081D">
        <w:t>accessible –</w:t>
      </w:r>
      <w:r>
        <w:t xml:space="preserve"> </w:t>
      </w:r>
      <w:r w:rsidRPr="003A081D">
        <w:t>the provider has informed the student that the information or document is to be given using the system, and has authorised the student to use the system</w:t>
      </w:r>
    </w:p>
    <w:p w14:paraId="35B6986F" w14:textId="77777777" w:rsidR="00983AE6" w:rsidRPr="00736F23" w:rsidRDefault="00983AE6" w:rsidP="00A0727A">
      <w:pPr>
        <w:pStyle w:val="ListBullet"/>
        <w:numPr>
          <w:ilvl w:val="0"/>
          <w:numId w:val="74"/>
        </w:numPr>
      </w:pPr>
      <w:r w:rsidRPr="00736F23">
        <w:t xml:space="preserve">secure </w:t>
      </w:r>
      <w:r>
        <w:t xml:space="preserve">– so that </w:t>
      </w:r>
      <w:r w:rsidRPr="003A081D">
        <w:t>the student’s information or document</w:t>
      </w:r>
      <w:r>
        <w:t>s</w:t>
      </w:r>
      <w:r w:rsidRPr="003A081D">
        <w:t xml:space="preserve"> can be accessed only by persons authorised by the student</w:t>
      </w:r>
    </w:p>
    <w:p w14:paraId="3902AD1F" w14:textId="77777777" w:rsidR="00983AE6" w:rsidRPr="00736F23" w:rsidRDefault="00983AE6" w:rsidP="00A0727A">
      <w:pPr>
        <w:pStyle w:val="ListBullet"/>
        <w:numPr>
          <w:ilvl w:val="0"/>
          <w:numId w:val="74"/>
        </w:numPr>
      </w:pPr>
      <w:r w:rsidRPr="00736F23">
        <w:t>able to store information so that it is readily accessible</w:t>
      </w:r>
      <w:r>
        <w:t xml:space="preserve"> by the student</w:t>
      </w:r>
    </w:p>
    <w:p w14:paraId="36B84D16" w14:textId="77777777" w:rsidR="00983AE6" w:rsidRPr="00736F23" w:rsidRDefault="00983AE6" w:rsidP="00A0727A">
      <w:pPr>
        <w:pStyle w:val="ListBullet"/>
        <w:numPr>
          <w:ilvl w:val="0"/>
          <w:numId w:val="74"/>
        </w:numPr>
      </w:pPr>
      <w:r w:rsidRPr="00736F23">
        <w:t xml:space="preserve">accessible in respect of applications for </w:t>
      </w:r>
      <w:r w:rsidR="00454ED5">
        <w:t>VET Student Loans</w:t>
      </w:r>
    </w:p>
    <w:p w14:paraId="57722220" w14:textId="77777777" w:rsidR="00983AE6" w:rsidRPr="00356FE7" w:rsidRDefault="00983AE6" w:rsidP="00A0727A">
      <w:pPr>
        <w:pStyle w:val="ListBullet"/>
        <w:numPr>
          <w:ilvl w:val="0"/>
          <w:numId w:val="74"/>
        </w:numPr>
      </w:pPr>
      <w:r w:rsidRPr="00142077">
        <w:t xml:space="preserve">for </w:t>
      </w:r>
      <w:r w:rsidRPr="00356FE7">
        <w:t xml:space="preserve">a student who makes a </w:t>
      </w:r>
      <w:r w:rsidR="00454ED5">
        <w:t>VET Student Loans</w:t>
      </w:r>
      <w:r w:rsidRPr="00356FE7">
        <w:t xml:space="preserve"> application electronically (noting section </w:t>
      </w:r>
      <w:r w:rsidRPr="002A6A17">
        <w:t>‘</w:t>
      </w:r>
      <w:hyperlink w:anchor="_Toc477960257" w:history="1">
        <w:r w:rsidRPr="002A6A17">
          <w:rPr>
            <w:rStyle w:val="Hyperlink"/>
          </w:rPr>
          <w:t>Processes and procedures relating to loan applications</w:t>
        </w:r>
      </w:hyperlink>
      <w:r w:rsidRPr="002A6A17">
        <w:t>’</w:t>
      </w:r>
      <w:r>
        <w:t xml:space="preserve"> regarding eCAF applications directly to the </w:t>
      </w:r>
      <w:r w:rsidR="0041365D">
        <w:t>Commonwealth</w:t>
      </w:r>
      <w:r>
        <w:t>)</w:t>
      </w:r>
      <w:r w:rsidRPr="00356FE7">
        <w:t>:</w:t>
      </w:r>
    </w:p>
    <w:p w14:paraId="50941D5C" w14:textId="77777777" w:rsidR="00983AE6" w:rsidRPr="00142077" w:rsidRDefault="00983AE6" w:rsidP="00A0727A">
      <w:pPr>
        <w:pStyle w:val="ListBullet2"/>
        <w:numPr>
          <w:ilvl w:val="1"/>
          <w:numId w:val="54"/>
        </w:numPr>
      </w:pPr>
      <w:r w:rsidRPr="00142077">
        <w:t>accessible by the student using a student identifier</w:t>
      </w:r>
      <w:r>
        <w:t>,</w:t>
      </w:r>
      <w:r w:rsidRPr="00142077">
        <w:t xml:space="preserve"> and</w:t>
      </w:r>
    </w:p>
    <w:p w14:paraId="5D37364D" w14:textId="77777777" w:rsidR="00983AE6" w:rsidRDefault="00983AE6" w:rsidP="00A0727A">
      <w:pPr>
        <w:pStyle w:val="ListBullet2"/>
        <w:numPr>
          <w:ilvl w:val="1"/>
          <w:numId w:val="54"/>
        </w:numPr>
      </w:pPr>
      <w:r w:rsidRPr="00142077">
        <w:t>able to automatically generate a date field on the request</w:t>
      </w:r>
      <w:r>
        <w:t>,</w:t>
      </w:r>
      <w:r w:rsidRPr="00142077">
        <w:t xml:space="preserve"> and</w:t>
      </w:r>
    </w:p>
    <w:p w14:paraId="2A2B06AF" w14:textId="6E6530A4" w:rsidR="00B945EE" w:rsidRDefault="00983AE6" w:rsidP="00A0727A">
      <w:pPr>
        <w:pStyle w:val="ListBullet2"/>
        <w:numPr>
          <w:ilvl w:val="1"/>
          <w:numId w:val="54"/>
        </w:numPr>
      </w:pPr>
      <w:r w:rsidRPr="00736F23">
        <w:t>is able to generate printable receipts for the student</w:t>
      </w:r>
      <w:r w:rsidRPr="005359E1">
        <w:t>.</w:t>
      </w:r>
    </w:p>
    <w:p w14:paraId="4B4342C4" w14:textId="183FFD1A" w:rsidR="00983AE6" w:rsidRDefault="00B945EE" w:rsidP="00B945EE">
      <w:pPr>
        <w:spacing w:line="276" w:lineRule="auto"/>
      </w:pPr>
      <w:r>
        <w:br w:type="page"/>
      </w:r>
    </w:p>
    <w:p w14:paraId="1C006C15" w14:textId="77777777" w:rsidR="00983AE6" w:rsidRPr="00736F23" w:rsidRDefault="00983AE6" w:rsidP="00983AE6">
      <w:pPr>
        <w:pStyle w:val="Heading1"/>
      </w:pPr>
      <w:bookmarkStart w:id="4206" w:name="_Toc471374620"/>
      <w:bookmarkStart w:id="4207" w:name="_Toc474396049"/>
      <w:bookmarkStart w:id="4208" w:name="_Toc474398253"/>
      <w:bookmarkStart w:id="4209" w:name="_Toc474413861"/>
      <w:bookmarkStart w:id="4210" w:name="_Toc474485344"/>
      <w:bookmarkStart w:id="4211" w:name="_Toc474924653"/>
      <w:bookmarkStart w:id="4212" w:name="_Toc475444263"/>
      <w:bookmarkStart w:id="4213" w:name="_Toc475444354"/>
      <w:bookmarkStart w:id="4214" w:name="_Toc477425539"/>
      <w:bookmarkStart w:id="4215" w:name="_Toc477425871"/>
      <w:bookmarkStart w:id="4216" w:name="_Toc477505909"/>
      <w:bookmarkStart w:id="4217" w:name="_Toc477960050"/>
      <w:bookmarkStart w:id="4218" w:name="_Toc477960496"/>
      <w:bookmarkStart w:id="4219" w:name="_Toc477960936"/>
      <w:bookmarkStart w:id="4220" w:name="_Toc477961375"/>
      <w:bookmarkStart w:id="4221" w:name="_Toc477961858"/>
      <w:bookmarkStart w:id="4222" w:name="_Toc477962345"/>
      <w:bookmarkStart w:id="4223" w:name="_Toc477962832"/>
      <w:bookmarkStart w:id="4224" w:name="_Toc477963318"/>
      <w:bookmarkStart w:id="4225" w:name="_Toc477963814"/>
      <w:bookmarkStart w:id="4226" w:name="_Toc478043016"/>
      <w:bookmarkStart w:id="4227" w:name="_Toc478367267"/>
      <w:bookmarkStart w:id="4228" w:name="_Toc479083879"/>
      <w:bookmarkStart w:id="4229" w:name="_5._Payments_to"/>
      <w:bookmarkStart w:id="4230" w:name="_Toc471374622"/>
      <w:bookmarkStart w:id="4231" w:name="_Toc477960051"/>
      <w:bookmarkStart w:id="4232" w:name="_Toc483222953"/>
      <w:bookmarkStart w:id="4233" w:name="_Toc501621263"/>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r>
        <w:lastRenderedPageBreak/>
        <w:t xml:space="preserve">5. </w:t>
      </w:r>
      <w:r w:rsidRPr="00736F23">
        <w:t>Payments to approved course providers</w:t>
      </w:r>
      <w:bookmarkEnd w:id="4230"/>
      <w:bookmarkEnd w:id="4231"/>
      <w:bookmarkEnd w:id="4232"/>
      <w:bookmarkEnd w:id="4233"/>
    </w:p>
    <w:p w14:paraId="773D2D2F" w14:textId="61081879" w:rsidR="00AE2966" w:rsidRPr="00736F23" w:rsidRDefault="00890A87" w:rsidP="00AE2966">
      <w:pPr>
        <w:rPr>
          <w:b/>
          <w:color w:val="FFFFFF" w:themeColor="background1"/>
        </w:rPr>
      </w:pPr>
      <w:r>
        <w:t>P</w:t>
      </w:r>
      <w:r w:rsidR="00983AE6" w:rsidRPr="005454A1">
        <w:t xml:space="preserve">roviders will be paid monthly in arrears of the provider submitting student liability data through the Higher Education Information Management System (HEIMS). Providers must submit student liability data for all </w:t>
      </w:r>
      <w:hyperlink w:anchor="_Toc471300329" w:history="1">
        <w:r w:rsidR="00983AE6" w:rsidRPr="002A6A17">
          <w:rPr>
            <w:rStyle w:val="Hyperlink"/>
          </w:rPr>
          <w:t>census days</w:t>
        </w:r>
      </w:hyperlink>
      <w:r w:rsidR="00983AE6" w:rsidRPr="005454A1">
        <w:t xml:space="preserve"> that have occurred in each month by the 7</w:t>
      </w:r>
      <w:r w:rsidR="00983AE6" w:rsidRPr="00E52544">
        <w:rPr>
          <w:vertAlign w:val="superscript"/>
        </w:rPr>
        <w:t>th</w:t>
      </w:r>
      <w:r w:rsidR="00983AE6" w:rsidRPr="005454A1">
        <w:t xml:space="preserve"> of the following month.  The department will monitor student </w:t>
      </w:r>
      <w:hyperlink w:anchor="_Toc481649813" w:history="1">
        <w:r w:rsidR="00983AE6" w:rsidRPr="002A6A17">
          <w:rPr>
            <w:rStyle w:val="Hyperlink"/>
          </w:rPr>
          <w:t>course caps</w:t>
        </w:r>
      </w:hyperlink>
      <w:r w:rsidR="00983AE6" w:rsidRPr="005454A1">
        <w:t xml:space="preserve"> and </w:t>
      </w:r>
      <w:hyperlink w:anchor="_Provider_fee_limit_1" w:history="1">
        <w:r w:rsidR="00983AE6" w:rsidRPr="002A6A17">
          <w:rPr>
            <w:rStyle w:val="Hyperlink"/>
          </w:rPr>
          <w:t>provider fee limits</w:t>
        </w:r>
      </w:hyperlink>
      <w:r w:rsidR="00983AE6" w:rsidRPr="005454A1">
        <w:t xml:space="preserve"> as part of the assessment of eligibility of submitted data for payment. Payment for all eligible student data is processed on the 1</w:t>
      </w:r>
      <w:r w:rsidR="00983AE6" w:rsidRPr="00E52544">
        <w:rPr>
          <w:vertAlign w:val="superscript"/>
        </w:rPr>
        <w:t xml:space="preserve">st </w:t>
      </w:r>
      <w:r w:rsidR="00983AE6">
        <w:t>of the next month. </w:t>
      </w:r>
      <w:r w:rsidR="00AE2966">
        <w:t>From February 2018 records that have failed the payment validation process (which allows 2 – 3 months for rectification) will be invalided in HEIMS</w:t>
      </w:r>
      <w:r w:rsidR="00AE2966" w:rsidRPr="00736F23">
        <w:t xml:space="preserve">. </w:t>
      </w:r>
    </w:p>
    <w:p w14:paraId="00FB6DDF" w14:textId="77777777" w:rsidR="00AE2966" w:rsidRPr="00736F23" w:rsidRDefault="00AE2966" w:rsidP="00AE2966">
      <w:r w:rsidRPr="00736F23">
        <w:t xml:space="preserve">It is important to note that providers are responsible for monitoring student loans to ensure they do not exceed </w:t>
      </w:r>
      <w:r>
        <w:t>their</w:t>
      </w:r>
      <w:r w:rsidRPr="00736F23">
        <w:t xml:space="preserve"> </w:t>
      </w:r>
      <w:r>
        <w:t>provider fee limit</w:t>
      </w:r>
      <w:r w:rsidRPr="00736F23">
        <w:t xml:space="preserve">. Should a provider report loans in excess of its </w:t>
      </w:r>
      <w:r>
        <w:t>provider fee limit</w:t>
      </w:r>
      <w:r w:rsidRPr="00736F23">
        <w:t xml:space="preserve">, </w:t>
      </w:r>
      <w:r>
        <w:t>the Secretary is not required to pay any loan amount in excess of the provider fee limit. The provider will need to resolve the resulting situation with the students – which may involve not charging the student tuition fees for the course or part of the course (having regard to section 56 of the Act and that students are not liable for covered fees). The provider would also need to amend the s</w:t>
      </w:r>
      <w:r w:rsidRPr="00736F23">
        <w:t>tudent debt</w:t>
      </w:r>
      <w:r>
        <w:t xml:space="preserve"> records in </w:t>
      </w:r>
      <w:r w:rsidRPr="00736F23">
        <w:t>HEIMS</w:t>
      </w:r>
      <w:r>
        <w:t>.</w:t>
      </w:r>
    </w:p>
    <w:p w14:paraId="5E9EA6C9" w14:textId="73EA56F2" w:rsidR="00AE2966" w:rsidRPr="00AE2966" w:rsidRDefault="00AE2966" w:rsidP="00AE2966">
      <w:pPr>
        <w:pStyle w:val="Heading5"/>
      </w:pPr>
      <w:bookmarkStart w:id="4234" w:name="_Data_Reporting_Statutory"/>
      <w:bookmarkEnd w:id="4234"/>
      <w:r w:rsidRPr="00AE2966">
        <w:t>Data Reporting Statutory Declaration</w:t>
      </w:r>
      <w:r w:rsidR="00B24B70">
        <w:t>s</w:t>
      </w:r>
    </w:p>
    <w:p w14:paraId="045854D3" w14:textId="265CA09D" w:rsidR="001469B3" w:rsidRPr="001469B3" w:rsidRDefault="001469B3" w:rsidP="001469B3">
      <w:pPr>
        <w:spacing w:after="240"/>
        <w:rPr>
          <w:b/>
        </w:rPr>
      </w:pPr>
      <w:r>
        <w:t xml:space="preserve">Payments will not occur unless a valid and accurately completed Statutory Declaration is uploaded into the </w:t>
      </w:r>
      <w:r w:rsidRPr="00736F23">
        <w:t>HELP IT System (HITS)</w:t>
      </w:r>
      <w:r>
        <w:t xml:space="preserve">. </w:t>
      </w:r>
      <w:r w:rsidRPr="00736F23">
        <w:t xml:space="preserve">Data must be certified </w:t>
      </w:r>
      <w:r w:rsidR="00AE2966">
        <w:t xml:space="preserve">as being true and correct and evidencing genuine students’ enrolment, debt and completions data </w:t>
      </w:r>
      <w:r w:rsidRPr="00736F23">
        <w:t>via the lodgement of a Statutory Declaration signed by either the Chief Executive Officer or Chief Financial Officer</w:t>
      </w:r>
      <w:r w:rsidR="00AE2966">
        <w:t xml:space="preserve">. The Statutory Declaration must be uploaded </w:t>
      </w:r>
      <w:r w:rsidRPr="00736F23">
        <w:t>in HITS as part of each data reporting submission</w:t>
      </w:r>
      <w:r w:rsidR="00AE2966">
        <w:t xml:space="preserve"> (ie. each month)</w:t>
      </w:r>
      <w:r w:rsidRPr="00736F23">
        <w:t xml:space="preserve">. </w:t>
      </w:r>
      <w:r>
        <w:t xml:space="preserve">The </w:t>
      </w:r>
      <w:r w:rsidR="00AE2966">
        <w:t xml:space="preserve">required </w:t>
      </w:r>
      <w:r>
        <w:t xml:space="preserve">Statutory Declaration </w:t>
      </w:r>
      <w:r w:rsidR="00AE2966">
        <w:t xml:space="preserve">form </w:t>
      </w:r>
      <w:r>
        <w:t>‘</w:t>
      </w:r>
      <w:r w:rsidRPr="00AE2966">
        <w:rPr>
          <w:i/>
        </w:rPr>
        <w:t>Statutory Declaration - VET FEE-HELP and VET Student Loans</w:t>
      </w:r>
      <w:r>
        <w:t xml:space="preserve">’ is available on the department’s website at </w:t>
      </w:r>
      <w:hyperlink r:id="rId117" w:history="1">
        <w:r w:rsidRPr="00D9490D">
          <w:rPr>
            <w:rStyle w:val="Hyperlink"/>
          </w:rPr>
          <w:t>www.education.gov.au/information-vet-student-loans-approved-providers</w:t>
        </w:r>
      </w:hyperlink>
      <w:r w:rsidRPr="00AE2966">
        <w:t>.</w:t>
      </w:r>
      <w:r w:rsidR="00AE2966" w:rsidRPr="00AE2966">
        <w:t xml:space="preserve"> Providers should read the ‘Data Provision and Statutory Declarations for Monthly Census Days’ Fact sheet, available on the website, which further outlines data reporting and quality assurance information</w:t>
      </w:r>
      <w:r w:rsidR="00AE2966">
        <w:t>, and a</w:t>
      </w:r>
      <w:r w:rsidR="00AE2966" w:rsidRPr="00AE2966">
        <w:t>lso refer to</w:t>
      </w:r>
      <w:r w:rsidR="00AE2966">
        <w:rPr>
          <w:b/>
        </w:rPr>
        <w:t xml:space="preserve"> </w:t>
      </w:r>
      <w:hyperlink w:anchor="_Toc471285754" w:history="1">
        <w:r w:rsidR="00AE2966" w:rsidRPr="00AE2966">
          <w:rPr>
            <w:rStyle w:val="Hyperlink"/>
          </w:rPr>
          <w:t>section 4.14</w:t>
        </w:r>
      </w:hyperlink>
      <w:r w:rsidR="00AE2966">
        <w:rPr>
          <w:b/>
        </w:rPr>
        <w:t xml:space="preserve"> ‘Data reporting</w:t>
      </w:r>
      <w:r w:rsidR="00AE2966" w:rsidRPr="00AE2966">
        <w:t>’.</w:t>
      </w:r>
      <w:r w:rsidR="00AE2966">
        <w:rPr>
          <w:b/>
        </w:rPr>
        <w:t xml:space="preserve"> </w:t>
      </w:r>
    </w:p>
    <w:p w14:paraId="4B1A3AEF" w14:textId="244D41B9" w:rsidR="00AE2966" w:rsidRPr="00AE2966" w:rsidRDefault="00AE2966" w:rsidP="00AE2966">
      <w:pPr>
        <w:pStyle w:val="Heading5"/>
      </w:pPr>
      <w:r w:rsidRPr="00AE2966">
        <w:t>Reporting timetable</w:t>
      </w:r>
    </w:p>
    <w:p w14:paraId="2CD3FF99" w14:textId="1AB27409" w:rsidR="00983AE6" w:rsidRDefault="00983AE6" w:rsidP="00983AE6">
      <w:r>
        <w:t>The r</w:t>
      </w:r>
      <w:r w:rsidRPr="00736F23">
        <w:t xml:space="preserve">eporting timetable for monthly payment in arrears is at </w:t>
      </w:r>
      <w:hyperlink w:anchor="_Appendix_I_-" w:history="1">
        <w:r w:rsidRPr="002A6A17">
          <w:rPr>
            <w:rStyle w:val="Hyperlink"/>
          </w:rPr>
          <w:t>Appendix H</w:t>
        </w:r>
      </w:hyperlink>
      <w:r w:rsidRPr="00736F23">
        <w:t>.</w:t>
      </w:r>
      <w:r w:rsidRPr="006552FD">
        <w:t xml:space="preserve"> </w:t>
      </w:r>
      <w:r>
        <w:t xml:space="preserve">This is by way of guidance only, noting that the Act gives flexibility to the department as to the timing of its payments </w:t>
      </w:r>
      <w:r w:rsidRPr="002A6A17">
        <w:rPr>
          <w:rStyle w:val="ReferenceChar"/>
        </w:rPr>
        <w:t>[Act s 19]</w:t>
      </w:r>
      <w:r w:rsidRPr="002A6A17">
        <w:t>.</w:t>
      </w:r>
    </w:p>
    <w:p w14:paraId="5C016B78" w14:textId="4BB47251" w:rsidR="00983AE6" w:rsidRPr="00D83D47" w:rsidRDefault="00572874" w:rsidP="00983AE6">
      <w:pPr>
        <w:pStyle w:val="Heading2"/>
      </w:pPr>
      <w:bookmarkStart w:id="4235" w:name="_Provider_fee_limit_1"/>
      <w:bookmarkStart w:id="4236" w:name="_5.1_Provider_fee"/>
      <w:bookmarkStart w:id="4237" w:name="_Toc483222954"/>
      <w:bookmarkStart w:id="4238" w:name="_Toc501621264"/>
      <w:bookmarkEnd w:id="4235"/>
      <w:bookmarkEnd w:id="4236"/>
      <w:r>
        <w:t>5.1 Provider</w:t>
      </w:r>
      <w:r w:rsidR="00983AE6" w:rsidRPr="00896AF5">
        <w:t xml:space="preserve"> fee limit</w:t>
      </w:r>
      <w:bookmarkEnd w:id="4237"/>
      <w:bookmarkEnd w:id="4238"/>
      <w:r w:rsidR="00983AE6" w:rsidRPr="00896AF5">
        <w:t xml:space="preserve"> </w:t>
      </w:r>
    </w:p>
    <w:p w14:paraId="3D84C119" w14:textId="77777777" w:rsidR="00983AE6" w:rsidRPr="00E52544" w:rsidRDefault="00983AE6" w:rsidP="00983AE6">
      <w:r w:rsidRPr="00E52544">
        <w:t>A provider fee limit is a maximum dollar amount for VET Student Loans that can be paid to an approved course provider for a particular period of time and/or for particular approved course(s)</w:t>
      </w:r>
      <w:r>
        <w:t xml:space="preserve"> </w:t>
      </w:r>
      <w:r>
        <w:rPr>
          <w:rStyle w:val="ReferenceChar"/>
        </w:rPr>
        <w:t>[Act </w:t>
      </w:r>
      <w:r w:rsidRPr="002A6A17">
        <w:rPr>
          <w:rStyle w:val="ReferenceChar"/>
        </w:rPr>
        <w:t>s</w:t>
      </w:r>
      <w:r>
        <w:rPr>
          <w:rStyle w:val="ReferenceChar"/>
        </w:rPr>
        <w:t> </w:t>
      </w:r>
      <w:r w:rsidRPr="002A6A17">
        <w:rPr>
          <w:rStyle w:val="ReferenceChar"/>
        </w:rPr>
        <w:t>34(3)]</w:t>
      </w:r>
      <w:r>
        <w:t xml:space="preserve">. </w:t>
      </w:r>
      <w:r w:rsidRPr="00E52544">
        <w:t xml:space="preserve">This provider fee limit is calculated using the capped loan amounts for each approved course as specified in the VET Student Loan (Courses and Loan Caps) Determination 2016 and any consequent amendments. </w:t>
      </w:r>
    </w:p>
    <w:p w14:paraId="28F0A224" w14:textId="77777777" w:rsidR="00983AE6" w:rsidRPr="00E52544" w:rsidRDefault="00983AE6" w:rsidP="00983AE6">
      <w:r w:rsidRPr="00E52544">
        <w:t xml:space="preserve">The capped loan amount may be larger or smaller than the </w:t>
      </w:r>
      <w:r w:rsidRPr="002A6A17">
        <w:t>tuition fees that a provider has decided to charge for a course. A provider fee limit is imposed on the provider as a condition of approval.</w:t>
      </w:r>
      <w:r w:rsidRPr="00E52544">
        <w:t xml:space="preserve"> </w:t>
      </w:r>
    </w:p>
    <w:p w14:paraId="3289128D" w14:textId="44BB3D1A" w:rsidR="00983AE6" w:rsidRDefault="00983AE6" w:rsidP="00983AE6">
      <w:pPr>
        <w:rPr>
          <w:rFonts w:ascii="Arial" w:hAnsi="Arial" w:cs="Arial"/>
        </w:rPr>
      </w:pPr>
      <w:r w:rsidRPr="002A6A17">
        <w:t>This is different from the fee periods for a course. For more information, see</w:t>
      </w:r>
      <w:r>
        <w:rPr>
          <w:rFonts w:ascii="Arial" w:hAnsi="Arial" w:cs="Arial"/>
        </w:rPr>
        <w:t xml:space="preserve"> ‘</w:t>
      </w:r>
      <w:hyperlink w:anchor="_4.8.12__" w:history="1">
        <w:r w:rsidRPr="002A6A17">
          <w:rPr>
            <w:rStyle w:val="Hyperlink"/>
          </w:rPr>
          <w:t>Fee periods</w:t>
        </w:r>
      </w:hyperlink>
      <w:r>
        <w:rPr>
          <w:rFonts w:ascii="Arial" w:hAnsi="Arial" w:cs="Arial"/>
        </w:rPr>
        <w:t xml:space="preserve">’. </w:t>
      </w:r>
    </w:p>
    <w:p w14:paraId="4F996C09" w14:textId="77777777" w:rsidR="00983AE6" w:rsidRPr="00E52544" w:rsidRDefault="00983AE6" w:rsidP="00983AE6">
      <w:r w:rsidRPr="00E52544">
        <w:t>Providers may have options about how they utilise their provider fee limits. For example, if an approved course provider has been approved to offer loans for eight different courses, and no separate fee limit for any one of those courses has been imposed, they can choose how many loans they offer for each of the courses</w:t>
      </w:r>
      <w:r>
        <w:t>,</w:t>
      </w:r>
      <w:r w:rsidRPr="00E52544">
        <w:t xml:space="preserve"> provided the total provider fee limit does not exceed the maximum specified in their approval documentation.</w:t>
      </w:r>
    </w:p>
    <w:p w14:paraId="4BD273AE" w14:textId="77777777" w:rsidR="00983AE6" w:rsidRPr="00E52544" w:rsidRDefault="00983AE6" w:rsidP="00983AE6">
      <w:r w:rsidRPr="00E52544">
        <w:lastRenderedPageBreak/>
        <w:t xml:space="preserve">If the provider has been given a fee limit for a course, there is not the same flexibility. The maximum limit for the course cannot be exceeded. </w:t>
      </w:r>
    </w:p>
    <w:p w14:paraId="63ACAEF4" w14:textId="77777777" w:rsidR="00983AE6" w:rsidRPr="006B65B9" w:rsidRDefault="00983AE6" w:rsidP="006B65B9">
      <w:pPr>
        <w:spacing w:after="0"/>
        <w:rPr>
          <w:b/>
        </w:rPr>
      </w:pPr>
      <w:r w:rsidRPr="006B65B9">
        <w:rPr>
          <w:b/>
        </w:rPr>
        <w:t>Example</w:t>
      </w:r>
    </w:p>
    <w:p w14:paraId="72C0B130" w14:textId="77777777" w:rsidR="00983AE6" w:rsidRDefault="00983AE6" w:rsidP="00983AE6">
      <w:r>
        <w:t>A p</w:t>
      </w:r>
      <w:r w:rsidRPr="007D53C2">
        <w:t xml:space="preserve">rovider offers an approved course </w:t>
      </w:r>
      <w:r>
        <w:t>which has</w:t>
      </w:r>
      <w:r w:rsidRPr="007D53C2">
        <w:t xml:space="preserve"> a </w:t>
      </w:r>
      <w:r>
        <w:t xml:space="preserve">loan cap </w:t>
      </w:r>
      <w:r w:rsidRPr="007D53C2">
        <w:t>of $1</w:t>
      </w:r>
      <w:r>
        <w:t>5</w:t>
      </w:r>
      <w:r w:rsidRPr="007D53C2">
        <w:t>,000</w:t>
      </w:r>
      <w:r>
        <w:t xml:space="preserve"> (as specified in the </w:t>
      </w:r>
      <w:r w:rsidRPr="009644B1">
        <w:t>Courses and Loan Caps Determination</w:t>
      </w:r>
      <w:r>
        <w:t>).</w:t>
      </w:r>
      <w:r w:rsidRPr="007D53C2">
        <w:t xml:space="preserve"> </w:t>
      </w:r>
    </w:p>
    <w:p w14:paraId="655A6384" w14:textId="77777777" w:rsidR="00983AE6" w:rsidRDefault="00983AE6" w:rsidP="00983AE6">
      <w:r>
        <w:t>The course i</w:t>
      </w:r>
      <w:r w:rsidRPr="007D53C2">
        <w:t xml:space="preserve">ncludes </w:t>
      </w:r>
      <w:r>
        <w:t>three</w:t>
      </w:r>
      <w:r w:rsidRPr="007D53C2">
        <w:t xml:space="preserve"> census days </w:t>
      </w:r>
      <w:r>
        <w:t>and on each census day the student becomes liable for $5,000 of the covered fee</w:t>
      </w:r>
      <w:r w:rsidRPr="007D53C2">
        <w:t xml:space="preserve"> for the course</w:t>
      </w:r>
      <w:r>
        <w:t xml:space="preserve">. Over a 12 month period three census days occur – which means that each student accessing a VET student loan for a course will be liable for $15,000 of the covered fee for the course over the 12 month period. The provider could therefore enrol 10 full time students on the basis that a certain portion of their course would be covered by VET Student Loans. </w:t>
      </w:r>
    </w:p>
    <w:p w14:paraId="57A89A24" w14:textId="77777777" w:rsidR="00983AE6" w:rsidRPr="0045726D" w:rsidRDefault="00983AE6" w:rsidP="00983AE6">
      <w:r>
        <w:t>T</w:t>
      </w:r>
      <w:r w:rsidRPr="007D53C2">
        <w:t>he provider</w:t>
      </w:r>
      <w:r>
        <w:t>’s</w:t>
      </w:r>
      <w:r w:rsidRPr="007D53C2">
        <w:t xml:space="preserve"> fee limit for t</w:t>
      </w:r>
      <w:r>
        <w:t xml:space="preserve">he course is $150,000 for a 12 </w:t>
      </w:r>
      <w:r w:rsidRPr="007D53C2">
        <w:t xml:space="preserve">month period. </w:t>
      </w:r>
    </w:p>
    <w:p w14:paraId="7A2E3316" w14:textId="77777777" w:rsidR="00983AE6" w:rsidRDefault="00983AE6" w:rsidP="00983AE6">
      <w:pPr>
        <w:pStyle w:val="NoSpacing"/>
        <w:spacing w:after="120"/>
        <w:rPr>
          <w:rFonts w:ascii="Arial" w:hAnsi="Arial" w:cs="Arial"/>
        </w:rPr>
      </w:pPr>
      <w:r>
        <w:rPr>
          <w:noProof/>
          <w:lang w:eastAsia="en-AU"/>
        </w:rPr>
        <w:drawing>
          <wp:inline distT="0" distB="0" distL="0" distR="0" wp14:anchorId="0E19FFFF" wp14:editId="6617318F">
            <wp:extent cx="5835650" cy="2689651"/>
            <wp:effectExtent l="0" t="0" r="0" b="0"/>
            <wp:docPr id="4" name="Picture 4" descr="Student Progression timeline" title="Student 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C919.tmp"/>
                    <pic:cNvPicPr/>
                  </pic:nvPicPr>
                  <pic:blipFill rotWithShape="1">
                    <a:blip r:embed="rId118" cstate="print">
                      <a:extLst>
                        <a:ext uri="{28A0092B-C50C-407E-A947-70E740481C1C}">
                          <a14:useLocalDpi xmlns:a14="http://schemas.microsoft.com/office/drawing/2010/main" val="0"/>
                        </a:ext>
                      </a:extLst>
                    </a:blip>
                    <a:srcRect/>
                    <a:stretch/>
                  </pic:blipFill>
                  <pic:spPr bwMode="auto">
                    <a:xfrm>
                      <a:off x="0" y="0"/>
                      <a:ext cx="5835650" cy="268965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96AD54B" w14:textId="77777777" w:rsidR="00983AE6" w:rsidRDefault="00983AE6" w:rsidP="00983AE6">
      <w:r>
        <w:t>The effect of the fee limit for this provider is that only 10 students can access a VET Student Loan for the course in the 12-month period</w:t>
      </w:r>
      <w:r w:rsidRPr="0025270E">
        <w:t xml:space="preserve"> </w:t>
      </w:r>
      <w:r>
        <w:t xml:space="preserve">at this provider. </w:t>
      </w:r>
    </w:p>
    <w:p w14:paraId="72857349" w14:textId="77777777" w:rsidR="0025627C" w:rsidRDefault="00983AE6" w:rsidP="00983AE6">
      <w:r w:rsidRPr="007D53C2">
        <w:t>If there were more census da</w:t>
      </w:r>
      <w:r>
        <w:t>y</w:t>
      </w:r>
      <w:r w:rsidRPr="007D53C2">
        <w:t xml:space="preserve">s for one or more students within the relevant period, then the number of students able to </w:t>
      </w:r>
      <w:r>
        <w:t xml:space="preserve">access VET Student Loans </w:t>
      </w:r>
      <w:r w:rsidRPr="007D53C2">
        <w:t>would be lower.</w:t>
      </w:r>
      <w:r>
        <w:t xml:space="preserve"> If students were studying part time, the number of students may be higher.</w:t>
      </w:r>
    </w:p>
    <w:p w14:paraId="04A4BDF2" w14:textId="3C9D06D7" w:rsidR="002B015A" w:rsidRDefault="002B015A" w:rsidP="00983AE6">
      <w:r w:rsidRPr="002B015A">
        <w:rPr>
          <w:b/>
        </w:rPr>
        <w:t>IMPORTANT NOTE:</w:t>
      </w:r>
      <w:r>
        <w:t xml:space="preserve"> </w:t>
      </w:r>
      <w:r w:rsidRPr="00AF0B3E">
        <w:t>The consum</w:t>
      </w:r>
      <w:r>
        <w:t>ption of a provider’s fee limit</w:t>
      </w:r>
      <w:r w:rsidRPr="00AF0B3E">
        <w:t xml:space="preserve"> is based on when a unit census day falls, not when the payment is made. Therefore, a unit with a census da</w:t>
      </w:r>
      <w:r>
        <w:t>y in Dec</w:t>
      </w:r>
      <w:r w:rsidR="00516188">
        <w:t>ember</w:t>
      </w:r>
      <w:r>
        <w:t xml:space="preserve"> 2017 will be </w:t>
      </w:r>
      <w:r w:rsidR="00516188">
        <w:t>assessed for payment</w:t>
      </w:r>
      <w:r>
        <w:t xml:space="preserve"> on 1 </w:t>
      </w:r>
      <w:r w:rsidRPr="00AF0B3E">
        <w:t>Feb</w:t>
      </w:r>
      <w:r w:rsidR="00516188">
        <w:t>ruary</w:t>
      </w:r>
      <w:r w:rsidRPr="00AF0B3E">
        <w:t xml:space="preserve"> 2018 against the provider’s 2017 fee limit.</w:t>
      </w:r>
    </w:p>
    <w:p w14:paraId="3F179B4C" w14:textId="464CFEF9" w:rsidR="008B01B8" w:rsidRDefault="00572874" w:rsidP="00DD471D">
      <w:pPr>
        <w:pStyle w:val="Heading2"/>
      </w:pPr>
      <w:bookmarkStart w:id="4239" w:name="_5.2_Process_for"/>
      <w:bookmarkStart w:id="4240" w:name="_Toc501621265"/>
      <w:bookmarkEnd w:id="4239"/>
      <w:r>
        <w:t>5.2 Process</w:t>
      </w:r>
      <w:r w:rsidR="007E3414">
        <w:t xml:space="preserve"> for applying for </w:t>
      </w:r>
      <w:r w:rsidR="008B01B8">
        <w:t xml:space="preserve">an increase </w:t>
      </w:r>
      <w:r w:rsidR="00516188">
        <w:t xml:space="preserve">to </w:t>
      </w:r>
      <w:r w:rsidR="007E3414">
        <w:t>a</w:t>
      </w:r>
      <w:r w:rsidR="008B01B8">
        <w:t xml:space="preserve"> provider fee limit</w:t>
      </w:r>
      <w:bookmarkEnd w:id="4240"/>
    </w:p>
    <w:p w14:paraId="07AD76CC" w14:textId="43AAF730" w:rsidR="00FA13BF" w:rsidRDefault="00DD471D" w:rsidP="00E40940">
      <w:pPr>
        <w:rPr>
          <w:b/>
          <w:bCs/>
        </w:rPr>
      </w:pPr>
      <w:r w:rsidRPr="008B0A01">
        <w:t xml:space="preserve">Recognising the need for flexibility, the department will consider requests from providers to apply for a variation to their conditions </w:t>
      </w:r>
      <w:r w:rsidR="002C3362" w:rsidRPr="008B0A01">
        <w:t>to allow for</w:t>
      </w:r>
      <w:r w:rsidRPr="008B0A01">
        <w:t xml:space="preserve"> an increase to their provider fee limit</w:t>
      </w:r>
      <w:r w:rsidR="00C672EC" w:rsidRPr="008B0A01">
        <w:t xml:space="preserve"> </w:t>
      </w:r>
      <w:r w:rsidR="00C672EC" w:rsidRPr="008B0A01">
        <w:rPr>
          <w:color w:val="00B0F0"/>
          <w:sz w:val="16"/>
          <w:szCs w:val="16"/>
        </w:rPr>
        <w:t>[</w:t>
      </w:r>
      <w:r w:rsidR="00C672EC" w:rsidRPr="00AF0B69">
        <w:rPr>
          <w:color w:val="00B0F0"/>
          <w:sz w:val="16"/>
          <w:szCs w:val="16"/>
        </w:rPr>
        <w:t>Act paragraph 34(1)(b)]</w:t>
      </w:r>
      <w:r>
        <w:t>.</w:t>
      </w:r>
      <w:r w:rsidR="00FA13BF" w:rsidRPr="00FA13BF">
        <w:t xml:space="preserve"> </w:t>
      </w:r>
      <w:r w:rsidR="00FA13BF">
        <w:t>R</w:t>
      </w:r>
      <w:r w:rsidR="00FA13BF" w:rsidRPr="002051EF">
        <w:t>equest</w:t>
      </w:r>
      <w:r w:rsidR="00FA13BF">
        <w:t xml:space="preserve">s will be accepted </w:t>
      </w:r>
      <w:r w:rsidR="00FA13BF" w:rsidRPr="002051EF">
        <w:t>by</w:t>
      </w:r>
      <w:r w:rsidR="00FA13BF">
        <w:t xml:space="preserve"> the department </w:t>
      </w:r>
      <w:r w:rsidR="00516188">
        <w:t>by</w:t>
      </w:r>
      <w:r w:rsidR="00FA13BF">
        <w:t xml:space="preserve"> </w:t>
      </w:r>
      <w:r w:rsidR="00FA13BF" w:rsidRPr="002051EF">
        <w:t xml:space="preserve">31 March or 30 September annually. </w:t>
      </w:r>
    </w:p>
    <w:p w14:paraId="24B32ED4" w14:textId="77777777" w:rsidR="00FA13BF" w:rsidRPr="002051EF" w:rsidRDefault="00FA13BF" w:rsidP="00E40940">
      <w:pPr>
        <w:rPr>
          <w:b/>
          <w:bCs/>
        </w:rPr>
      </w:pPr>
      <w:r w:rsidRPr="00E40940">
        <w:rPr>
          <w:b/>
        </w:rPr>
        <w:t>IMPORTANT NOTE:</w:t>
      </w:r>
      <w:r>
        <w:t xml:space="preserve"> </w:t>
      </w:r>
      <w:r w:rsidRPr="002051EF">
        <w:t xml:space="preserve">In exceptional circumstances, for example where a provider supports the ongoing study of students affected by a provider closure, requests may be considered outside of this </w:t>
      </w:r>
      <w:r>
        <w:t>timeframe.</w:t>
      </w:r>
    </w:p>
    <w:p w14:paraId="09182FC5" w14:textId="5E23D5DA" w:rsidR="00DD471D" w:rsidRDefault="00FA13BF" w:rsidP="008B0A01">
      <w:pPr>
        <w:spacing w:after="120"/>
      </w:pPr>
      <w:r>
        <w:lastRenderedPageBreak/>
        <w:t xml:space="preserve">Providers must use the </w:t>
      </w:r>
      <w:r w:rsidRPr="005424CA">
        <w:rPr>
          <w:i/>
        </w:rPr>
        <w:t xml:space="preserve">Request to </w:t>
      </w:r>
      <w:r w:rsidR="001A0DE8">
        <w:rPr>
          <w:i/>
        </w:rPr>
        <w:t xml:space="preserve">vary VSL </w:t>
      </w:r>
      <w:r w:rsidRPr="005424CA">
        <w:rPr>
          <w:i/>
        </w:rPr>
        <w:t>Fee Limit</w:t>
      </w:r>
      <w:r w:rsidRPr="005424CA">
        <w:t xml:space="preserve"> form</w:t>
      </w:r>
      <w:r>
        <w:t>, which is available from the department</w:t>
      </w:r>
      <w:r w:rsidR="001A0DE8">
        <w:t xml:space="preserve">’s website at </w:t>
      </w:r>
      <w:hyperlink r:id="rId119" w:history="1">
        <w:r w:rsidR="001A0DE8" w:rsidRPr="00F877F9">
          <w:rPr>
            <w:rStyle w:val="Hyperlink"/>
          </w:rPr>
          <w:t>www.education.gov.au/information-vet-student-loans-approved-providers</w:t>
        </w:r>
      </w:hyperlink>
      <w:r w:rsidR="001A0DE8">
        <w:t xml:space="preserve"> </w:t>
      </w:r>
      <w:r>
        <w:t xml:space="preserve">, and provide </w:t>
      </w:r>
      <w:r w:rsidRPr="002051EF">
        <w:t xml:space="preserve">an evidence-based business case to support </w:t>
      </w:r>
      <w:r w:rsidRPr="008B0A01">
        <w:t>their request</w:t>
      </w:r>
      <w:r>
        <w:t xml:space="preserve"> (see </w:t>
      </w:r>
      <w:hyperlink w:anchor="_5.2.1__" w:history="1">
        <w:r w:rsidRPr="00A5748D">
          <w:rPr>
            <w:rStyle w:val="Hyperlink"/>
          </w:rPr>
          <w:t>5.2.1</w:t>
        </w:r>
      </w:hyperlink>
      <w:r w:rsidRPr="00A5748D">
        <w:rPr>
          <w:color w:val="002060"/>
        </w:rPr>
        <w:t xml:space="preserve"> </w:t>
      </w:r>
      <w:r>
        <w:t>below)</w:t>
      </w:r>
      <w:r w:rsidRPr="008B0A01">
        <w:t>.</w:t>
      </w:r>
    </w:p>
    <w:p w14:paraId="4CD31BF2" w14:textId="041B5E56" w:rsidR="008A1D38" w:rsidRDefault="008A1D38" w:rsidP="0028499D">
      <w:r>
        <w:t>Requests</w:t>
      </w:r>
      <w:r w:rsidR="001A0DE8">
        <w:t>, including form and business case,</w:t>
      </w:r>
      <w:r>
        <w:t xml:space="preserve"> should be submitted using the online enquiry form at </w:t>
      </w:r>
      <w:hyperlink r:id="rId120" w:history="1">
        <w:r w:rsidRPr="000F2914">
          <w:rPr>
            <w:rStyle w:val="Hyperlink"/>
          </w:rPr>
          <w:t>www.education.gov.au/information-vet-student-loans-approved-providers</w:t>
        </w:r>
      </w:hyperlink>
      <w:r>
        <w:t>.</w:t>
      </w:r>
      <w:r w:rsidR="001A0DE8">
        <w:t xml:space="preserve"> </w:t>
      </w:r>
      <w:r>
        <w:t>Choose ‘Other’ from the drop down list and insert the subject line:</w:t>
      </w:r>
    </w:p>
    <w:p w14:paraId="59E3E7A8" w14:textId="7CEF05C4" w:rsidR="008A1D38" w:rsidRPr="0065023C" w:rsidRDefault="008A1D38" w:rsidP="008A1D38">
      <w:pPr>
        <w:rPr>
          <w:rStyle w:val="Emphasis"/>
        </w:rPr>
      </w:pPr>
      <w:r w:rsidRPr="0065023C">
        <w:rPr>
          <w:rStyle w:val="Emphasis"/>
        </w:rPr>
        <w:t xml:space="preserve">Request </w:t>
      </w:r>
      <w:r w:rsidR="001A0DE8">
        <w:rPr>
          <w:rStyle w:val="Emphasis"/>
        </w:rPr>
        <w:t>to vary</w:t>
      </w:r>
      <w:r>
        <w:rPr>
          <w:rStyle w:val="Emphasis"/>
        </w:rPr>
        <w:t xml:space="preserve"> provider fee limit</w:t>
      </w:r>
      <w:r w:rsidRPr="0065023C">
        <w:rPr>
          <w:rStyle w:val="Emphasis"/>
        </w:rPr>
        <w:t xml:space="preserve"> - [provider name]</w:t>
      </w:r>
    </w:p>
    <w:p w14:paraId="173B0295" w14:textId="77777777" w:rsidR="008B01B8" w:rsidRDefault="00DD471D" w:rsidP="0028499D">
      <w:pPr>
        <w:pStyle w:val="Heading3"/>
        <w:keepNext/>
        <w:keepLines/>
      </w:pPr>
      <w:bookmarkStart w:id="4241" w:name="_5.2.1__"/>
      <w:bookmarkStart w:id="4242" w:name="_Toc501621266"/>
      <w:bookmarkEnd w:id="4241"/>
      <w:r>
        <w:t xml:space="preserve">5.2.1   </w:t>
      </w:r>
      <w:r w:rsidR="008B01B8">
        <w:t>Business Case Requirements</w:t>
      </w:r>
      <w:bookmarkEnd w:id="4242"/>
    </w:p>
    <w:p w14:paraId="4DDECCD8" w14:textId="77777777" w:rsidR="00B06D4B" w:rsidRDefault="00B06D4B" w:rsidP="008B0A01">
      <w:pPr>
        <w:spacing w:after="120"/>
      </w:pPr>
      <w:r>
        <w:t xml:space="preserve">The business case must include details for each course for which the provider is seeking an increase. It should </w:t>
      </w:r>
      <w:r w:rsidRPr="00B945EE">
        <w:t>be no longer than three pages and include</w:t>
      </w:r>
      <w:r>
        <w:t xml:space="preserve">, as a minimum, the requirements listed below: </w:t>
      </w:r>
    </w:p>
    <w:p w14:paraId="77655594" w14:textId="78BD3679" w:rsidR="008B01B8" w:rsidRDefault="008B01B8" w:rsidP="00A0727A">
      <w:pPr>
        <w:pStyle w:val="ListParagraph"/>
        <w:numPr>
          <w:ilvl w:val="0"/>
          <w:numId w:val="60"/>
        </w:numPr>
        <w:spacing w:after="120"/>
      </w:pPr>
      <w:r>
        <w:t>list of the approved VSL courses currently offered</w:t>
      </w:r>
    </w:p>
    <w:p w14:paraId="05910A2D" w14:textId="0DDFACFB" w:rsidR="008B01B8" w:rsidRDefault="008B01B8" w:rsidP="00A0727A">
      <w:pPr>
        <w:pStyle w:val="ListParagraph"/>
        <w:numPr>
          <w:ilvl w:val="0"/>
          <w:numId w:val="60"/>
        </w:numPr>
        <w:spacing w:after="120"/>
      </w:pPr>
      <w:r>
        <w:t>the proposed fee limit increase for each currently approved course</w:t>
      </w:r>
    </w:p>
    <w:p w14:paraId="28401A1F" w14:textId="58FBD7BF" w:rsidR="008B01B8" w:rsidRDefault="008B01B8" w:rsidP="00A0727A">
      <w:pPr>
        <w:pStyle w:val="ListParagraph"/>
        <w:numPr>
          <w:ilvl w:val="0"/>
          <w:numId w:val="60"/>
        </w:numPr>
        <w:spacing w:after="120"/>
      </w:pPr>
      <w:r>
        <w:t>the rationale based on market need for each of the courses where an increase is requested</w:t>
      </w:r>
    </w:p>
    <w:p w14:paraId="3E36CC76" w14:textId="5090ADED" w:rsidR="008B01B8" w:rsidRDefault="008B01B8" w:rsidP="00A0727A">
      <w:pPr>
        <w:pStyle w:val="ListParagraph"/>
        <w:numPr>
          <w:ilvl w:val="0"/>
          <w:numId w:val="60"/>
        </w:numPr>
        <w:spacing w:after="120"/>
      </w:pPr>
      <w:r>
        <w:t>demonstrate a track record of student progression and completions for approved courses where an increase is requested</w:t>
      </w:r>
    </w:p>
    <w:p w14:paraId="574EA35B" w14:textId="596D3A62" w:rsidR="008B01B8" w:rsidRDefault="008B01B8" w:rsidP="00A0727A">
      <w:pPr>
        <w:pStyle w:val="ListParagraph"/>
        <w:numPr>
          <w:ilvl w:val="0"/>
          <w:numId w:val="60"/>
        </w:numPr>
        <w:spacing w:after="120"/>
      </w:pPr>
      <w:r>
        <w:t>expected numbers of students for each course where an increase is requested</w:t>
      </w:r>
    </w:p>
    <w:p w14:paraId="7EDDC7C0" w14:textId="4E65A0E9" w:rsidR="008B01B8" w:rsidRDefault="008B01B8" w:rsidP="00A0727A">
      <w:pPr>
        <w:pStyle w:val="ListParagraph"/>
        <w:numPr>
          <w:ilvl w:val="0"/>
          <w:numId w:val="60"/>
        </w:numPr>
        <w:spacing w:after="120"/>
      </w:pPr>
      <w:r>
        <w:t>the most recent results of the organisation’s assessment of student satisfaction for the courses where an increase is requested and</w:t>
      </w:r>
    </w:p>
    <w:p w14:paraId="1D450DF5" w14:textId="2BDAE649" w:rsidR="008B01B8" w:rsidRDefault="008B01B8" w:rsidP="00A0727A">
      <w:pPr>
        <w:pStyle w:val="ListParagraph"/>
        <w:numPr>
          <w:ilvl w:val="0"/>
          <w:numId w:val="60"/>
        </w:numPr>
        <w:spacing w:after="120"/>
      </w:pPr>
      <w:r>
        <w:t>the proposed student intake per course where relevant to support students from ceased providers, where relevant</w:t>
      </w:r>
      <w:r w:rsidR="001A0DE8">
        <w:t>.</w:t>
      </w:r>
    </w:p>
    <w:p w14:paraId="4239BB29" w14:textId="415E6CE4" w:rsidR="00983AE6" w:rsidRPr="003F71F2" w:rsidRDefault="00572874" w:rsidP="00983AE6">
      <w:pPr>
        <w:pStyle w:val="Heading2"/>
      </w:pPr>
      <w:bookmarkStart w:id="4243" w:name="_When_Secretary_is"/>
      <w:bookmarkStart w:id="4244" w:name="_5.3_When_Secretary"/>
      <w:bookmarkStart w:id="4245" w:name="_Toc469040216"/>
      <w:bookmarkStart w:id="4246" w:name="_Toc483222955"/>
      <w:bookmarkStart w:id="4247" w:name="_Toc501621267"/>
      <w:bookmarkEnd w:id="4243"/>
      <w:bookmarkEnd w:id="4244"/>
      <w:r>
        <w:t>5.3 When</w:t>
      </w:r>
      <w:r w:rsidR="00983AE6" w:rsidRPr="003F71F2">
        <w:t xml:space="preserve"> Secretary is not required to pay loan amount</w:t>
      </w:r>
      <w:bookmarkEnd w:id="4245"/>
      <w:bookmarkEnd w:id="4246"/>
      <w:bookmarkEnd w:id="4247"/>
    </w:p>
    <w:p w14:paraId="3BCDEDA9" w14:textId="77777777" w:rsidR="00983AE6" w:rsidRPr="009A40B0" w:rsidRDefault="00983AE6" w:rsidP="00983AE6">
      <w:r w:rsidRPr="009A40B0">
        <w:t>The Secretary is not required to pay a loan amount for a student for a course if any of the following applies</w:t>
      </w:r>
      <w:r>
        <w:t xml:space="preserve"> </w:t>
      </w:r>
      <w:r w:rsidRPr="008709FF">
        <w:rPr>
          <w:rStyle w:val="ReferenceChar"/>
        </w:rPr>
        <w:t>[Act s 20]</w:t>
      </w:r>
      <w:r w:rsidRPr="008709FF">
        <w:t>:</w:t>
      </w:r>
    </w:p>
    <w:p w14:paraId="66233719" w14:textId="77777777" w:rsidR="00983AE6" w:rsidRPr="003F71F2" w:rsidRDefault="00983AE6" w:rsidP="00A0727A">
      <w:pPr>
        <w:pStyle w:val="ListBullet"/>
        <w:numPr>
          <w:ilvl w:val="0"/>
          <w:numId w:val="74"/>
        </w:numPr>
      </w:pPr>
      <w:r w:rsidRPr="003F71F2">
        <w:t>the student has not given the Secretar</w:t>
      </w:r>
      <w:r>
        <w:t>y the student’s tax file number</w:t>
      </w:r>
    </w:p>
    <w:p w14:paraId="70059797" w14:textId="77777777" w:rsidR="00983AE6" w:rsidRPr="003F71F2" w:rsidRDefault="00983AE6" w:rsidP="00A0727A">
      <w:pPr>
        <w:pStyle w:val="ListBullet"/>
        <w:numPr>
          <w:ilvl w:val="0"/>
          <w:numId w:val="74"/>
        </w:numPr>
      </w:pPr>
      <w:r w:rsidRPr="003F71F2">
        <w:t>the student has not given the Secretary t</w:t>
      </w:r>
      <w:r>
        <w:t>he student’s student identifier (USI)</w:t>
      </w:r>
    </w:p>
    <w:p w14:paraId="21957012" w14:textId="77777777" w:rsidR="00983AE6" w:rsidRPr="008709FF" w:rsidRDefault="00983AE6" w:rsidP="00A0727A">
      <w:pPr>
        <w:pStyle w:val="ListBullet"/>
        <w:numPr>
          <w:ilvl w:val="0"/>
          <w:numId w:val="74"/>
        </w:numPr>
      </w:pPr>
      <w:r w:rsidRPr="008709FF">
        <w:t>the Secretary is satisfied that the student:</w:t>
      </w:r>
    </w:p>
    <w:p w14:paraId="7CF931E2" w14:textId="77777777" w:rsidR="00983AE6" w:rsidRPr="008709FF" w:rsidRDefault="00983AE6" w:rsidP="00A0727A">
      <w:pPr>
        <w:pStyle w:val="ListBullet2"/>
        <w:numPr>
          <w:ilvl w:val="1"/>
          <w:numId w:val="55"/>
        </w:numPr>
      </w:pPr>
      <w:r w:rsidRPr="008709FF">
        <w:t>is not an eligible student or</w:t>
      </w:r>
    </w:p>
    <w:p w14:paraId="7EFBB903" w14:textId="77777777" w:rsidR="00983AE6" w:rsidRPr="008709FF" w:rsidRDefault="00983AE6" w:rsidP="00A0727A">
      <w:pPr>
        <w:pStyle w:val="ListBullet2"/>
        <w:numPr>
          <w:ilvl w:val="1"/>
          <w:numId w:val="55"/>
        </w:numPr>
      </w:pPr>
      <w:r w:rsidRPr="008709FF">
        <w:t>is not a genuine student</w:t>
      </w:r>
    </w:p>
    <w:p w14:paraId="19F5A97E" w14:textId="77777777" w:rsidR="00983AE6" w:rsidRPr="008709FF" w:rsidRDefault="00983AE6" w:rsidP="00A0727A">
      <w:pPr>
        <w:pStyle w:val="ListBullet"/>
        <w:numPr>
          <w:ilvl w:val="0"/>
          <w:numId w:val="74"/>
        </w:numPr>
      </w:pPr>
      <w:r w:rsidRPr="008709FF">
        <w:t>payment of the amount would breach a provider fee limit</w:t>
      </w:r>
    </w:p>
    <w:p w14:paraId="007414EE" w14:textId="77777777" w:rsidR="00983AE6" w:rsidRPr="008709FF" w:rsidRDefault="00983AE6" w:rsidP="00A0727A">
      <w:pPr>
        <w:pStyle w:val="ListBullet"/>
        <w:numPr>
          <w:ilvl w:val="0"/>
          <w:numId w:val="74"/>
        </w:numPr>
      </w:pPr>
      <w:r w:rsidRPr="008709FF">
        <w:t>the loan amount is greater than the student’s FEE</w:t>
      </w:r>
      <w:r w:rsidRPr="008709FF">
        <w:noBreakHyphen/>
        <w:t>HELP balance</w:t>
      </w:r>
    </w:p>
    <w:p w14:paraId="00538CE3" w14:textId="77777777" w:rsidR="00983AE6" w:rsidRPr="008709FF" w:rsidRDefault="00983AE6" w:rsidP="00A0727A">
      <w:pPr>
        <w:pStyle w:val="ListBullet"/>
        <w:numPr>
          <w:ilvl w:val="0"/>
          <w:numId w:val="74"/>
        </w:numPr>
      </w:pPr>
      <w:r w:rsidRPr="008709FF">
        <w:t>the Secretary suspects on reasonable grounds that the course provider is not complying with this Act</w:t>
      </w:r>
    </w:p>
    <w:p w14:paraId="20508A34" w14:textId="77777777" w:rsidR="00983AE6" w:rsidRPr="008709FF" w:rsidRDefault="00983AE6" w:rsidP="00A0727A">
      <w:pPr>
        <w:pStyle w:val="ListBullet"/>
        <w:numPr>
          <w:ilvl w:val="0"/>
          <w:numId w:val="74"/>
        </w:numPr>
      </w:pPr>
      <w:r w:rsidRPr="008709FF">
        <w:t>the approval of the course provider has been revoked or suspended, or has expired.</w:t>
      </w:r>
    </w:p>
    <w:p w14:paraId="4CD2B289" w14:textId="77777777" w:rsidR="00983AE6" w:rsidRPr="003F71F2" w:rsidRDefault="00983AE6" w:rsidP="00983AE6">
      <w:r>
        <w:t xml:space="preserve">Where the Secretary decides not to pay a loan amount for a student for a course, the Secretary will notify the provider as soon as practicable. </w:t>
      </w:r>
    </w:p>
    <w:p w14:paraId="4A180457" w14:textId="5EE73CAA" w:rsidR="00983AE6" w:rsidRPr="00952043" w:rsidRDefault="002C6AB3" w:rsidP="00983AE6">
      <w:pPr>
        <w:pStyle w:val="Heading2"/>
      </w:pPr>
      <w:bookmarkStart w:id="4248" w:name="_Toc474396051"/>
      <w:bookmarkStart w:id="4249" w:name="_Toc474398255"/>
      <w:bookmarkStart w:id="4250" w:name="_Toc474403251"/>
      <w:bookmarkStart w:id="4251" w:name="_Toc474413863"/>
      <w:bookmarkStart w:id="4252" w:name="_Toc474482667"/>
      <w:bookmarkStart w:id="4253" w:name="_Toc474485346"/>
      <w:bookmarkStart w:id="4254" w:name="_Toc474924655"/>
      <w:bookmarkStart w:id="4255" w:name="_Toc475444265"/>
      <w:bookmarkStart w:id="4256" w:name="_Toc475444356"/>
      <w:bookmarkStart w:id="4257" w:name="_Toc477425541"/>
      <w:bookmarkStart w:id="4258" w:name="_Toc477425873"/>
      <w:bookmarkStart w:id="4259" w:name="_Toc477505911"/>
      <w:bookmarkStart w:id="4260" w:name="_Toc477960052"/>
      <w:bookmarkStart w:id="4261" w:name="_Toc477960498"/>
      <w:bookmarkStart w:id="4262" w:name="_Toc477960938"/>
      <w:bookmarkStart w:id="4263" w:name="_Toc477961377"/>
      <w:bookmarkStart w:id="4264" w:name="_Toc477961860"/>
      <w:bookmarkStart w:id="4265" w:name="_Toc477962347"/>
      <w:bookmarkStart w:id="4266" w:name="_Toc477962834"/>
      <w:bookmarkStart w:id="4267" w:name="_Toc477963320"/>
      <w:bookmarkStart w:id="4268" w:name="_Toc477963816"/>
      <w:bookmarkStart w:id="4269" w:name="_Toc478043018"/>
      <w:bookmarkStart w:id="4270" w:name="_Toc478367270"/>
      <w:bookmarkStart w:id="4271" w:name="_Toc479083882"/>
      <w:bookmarkStart w:id="4272" w:name="_Toc474396052"/>
      <w:bookmarkStart w:id="4273" w:name="_Toc474398256"/>
      <w:bookmarkStart w:id="4274" w:name="_Toc474413864"/>
      <w:bookmarkStart w:id="4275" w:name="_Toc474485347"/>
      <w:bookmarkStart w:id="4276" w:name="_Toc474924656"/>
      <w:bookmarkStart w:id="4277" w:name="_Toc475444266"/>
      <w:bookmarkStart w:id="4278" w:name="_Toc475444357"/>
      <w:bookmarkStart w:id="4279" w:name="_Toc477425542"/>
      <w:bookmarkStart w:id="4280" w:name="_Toc477425874"/>
      <w:bookmarkStart w:id="4281" w:name="_Toc477505912"/>
      <w:bookmarkStart w:id="4282" w:name="_Toc477960053"/>
      <w:bookmarkStart w:id="4283" w:name="_Toc477960499"/>
      <w:bookmarkStart w:id="4284" w:name="_Toc477960939"/>
      <w:bookmarkStart w:id="4285" w:name="_Toc477961378"/>
      <w:bookmarkStart w:id="4286" w:name="_Toc477961861"/>
      <w:bookmarkStart w:id="4287" w:name="_Toc477962348"/>
      <w:bookmarkStart w:id="4288" w:name="_Toc477962835"/>
      <w:bookmarkStart w:id="4289" w:name="_Toc477963321"/>
      <w:bookmarkStart w:id="4290" w:name="_Toc477963817"/>
      <w:bookmarkStart w:id="4291" w:name="_Toc478043019"/>
      <w:bookmarkStart w:id="4292" w:name="_Toc478367271"/>
      <w:bookmarkStart w:id="4293" w:name="_Toc479083883"/>
      <w:bookmarkStart w:id="4294" w:name="_Toc474396055"/>
      <w:bookmarkStart w:id="4295" w:name="_Toc474398259"/>
      <w:bookmarkStart w:id="4296" w:name="_Toc474413867"/>
      <w:bookmarkStart w:id="4297" w:name="_Toc474485350"/>
      <w:bookmarkStart w:id="4298" w:name="_Toc474924659"/>
      <w:bookmarkStart w:id="4299" w:name="_Toc475444269"/>
      <w:bookmarkStart w:id="4300" w:name="_Toc475444360"/>
      <w:bookmarkStart w:id="4301" w:name="_Toc477425545"/>
      <w:bookmarkStart w:id="4302" w:name="_Toc477425877"/>
      <w:bookmarkStart w:id="4303" w:name="_Toc477505915"/>
      <w:bookmarkStart w:id="4304" w:name="_Toc477960056"/>
      <w:bookmarkStart w:id="4305" w:name="_Toc477960502"/>
      <w:bookmarkStart w:id="4306" w:name="_Toc477960942"/>
      <w:bookmarkStart w:id="4307" w:name="_Toc477961381"/>
      <w:bookmarkStart w:id="4308" w:name="_Toc477961864"/>
      <w:bookmarkStart w:id="4309" w:name="_Toc477962351"/>
      <w:bookmarkStart w:id="4310" w:name="_Toc477962838"/>
      <w:bookmarkStart w:id="4311" w:name="_Toc477963324"/>
      <w:bookmarkStart w:id="4312" w:name="_Toc477963820"/>
      <w:bookmarkStart w:id="4313" w:name="_Toc478043022"/>
      <w:bookmarkStart w:id="4314" w:name="_Toc478367274"/>
      <w:bookmarkStart w:id="4315" w:name="_Toc479083886"/>
      <w:bookmarkStart w:id="4316" w:name="_Toc474396056"/>
      <w:bookmarkStart w:id="4317" w:name="_Toc474398260"/>
      <w:bookmarkStart w:id="4318" w:name="_Toc474413868"/>
      <w:bookmarkStart w:id="4319" w:name="_Toc474485351"/>
      <w:bookmarkStart w:id="4320" w:name="_Toc474924660"/>
      <w:bookmarkStart w:id="4321" w:name="_Toc475444270"/>
      <w:bookmarkStart w:id="4322" w:name="_Toc475444361"/>
      <w:bookmarkStart w:id="4323" w:name="_Toc477425546"/>
      <w:bookmarkStart w:id="4324" w:name="_Toc477425878"/>
      <w:bookmarkStart w:id="4325" w:name="_Toc477505916"/>
      <w:bookmarkStart w:id="4326" w:name="_Toc477960057"/>
      <w:bookmarkStart w:id="4327" w:name="_Toc477960503"/>
      <w:bookmarkStart w:id="4328" w:name="_Toc477960943"/>
      <w:bookmarkStart w:id="4329" w:name="_Toc477961382"/>
      <w:bookmarkStart w:id="4330" w:name="_Toc477961865"/>
      <w:bookmarkStart w:id="4331" w:name="_Toc477962352"/>
      <w:bookmarkStart w:id="4332" w:name="_Toc477962839"/>
      <w:bookmarkStart w:id="4333" w:name="_Toc477963325"/>
      <w:bookmarkStart w:id="4334" w:name="_Toc477963821"/>
      <w:bookmarkStart w:id="4335" w:name="_Toc478043023"/>
      <w:bookmarkStart w:id="4336" w:name="_Toc478367275"/>
      <w:bookmarkStart w:id="4337" w:name="_Toc479083887"/>
      <w:bookmarkStart w:id="4338" w:name="_Estimates"/>
      <w:bookmarkStart w:id="4339" w:name="_Toc474396057"/>
      <w:bookmarkStart w:id="4340" w:name="_Toc474398261"/>
      <w:bookmarkStart w:id="4341" w:name="_Toc474413869"/>
      <w:bookmarkStart w:id="4342" w:name="_Toc474485352"/>
      <w:bookmarkStart w:id="4343" w:name="_Toc474924661"/>
      <w:bookmarkStart w:id="4344" w:name="_Toc475444271"/>
      <w:bookmarkStart w:id="4345" w:name="_Toc475444362"/>
      <w:bookmarkStart w:id="4346" w:name="_Toc477425547"/>
      <w:bookmarkStart w:id="4347" w:name="_Toc477425879"/>
      <w:bookmarkStart w:id="4348" w:name="_Toc477505917"/>
      <w:bookmarkStart w:id="4349" w:name="_Toc477960058"/>
      <w:bookmarkStart w:id="4350" w:name="_Toc477960504"/>
      <w:bookmarkStart w:id="4351" w:name="_Toc477960944"/>
      <w:bookmarkStart w:id="4352" w:name="_Toc477961383"/>
      <w:bookmarkStart w:id="4353" w:name="_Toc477961866"/>
      <w:bookmarkStart w:id="4354" w:name="_Toc477962353"/>
      <w:bookmarkStart w:id="4355" w:name="_Toc477962840"/>
      <w:bookmarkStart w:id="4356" w:name="_Toc477963326"/>
      <w:bookmarkStart w:id="4357" w:name="_Toc477963822"/>
      <w:bookmarkStart w:id="4358" w:name="_Toc478043024"/>
      <w:bookmarkStart w:id="4359" w:name="_Toc478367276"/>
      <w:bookmarkStart w:id="4360" w:name="_Toc479083888"/>
      <w:bookmarkStart w:id="4361" w:name="_Toc474396058"/>
      <w:bookmarkStart w:id="4362" w:name="_Toc474398262"/>
      <w:bookmarkStart w:id="4363" w:name="_Toc474413870"/>
      <w:bookmarkStart w:id="4364" w:name="_Toc474485353"/>
      <w:bookmarkStart w:id="4365" w:name="_Toc474924662"/>
      <w:bookmarkStart w:id="4366" w:name="_Toc475444272"/>
      <w:bookmarkStart w:id="4367" w:name="_Toc475444363"/>
      <w:bookmarkStart w:id="4368" w:name="_Toc477425548"/>
      <w:bookmarkStart w:id="4369" w:name="_Toc477425880"/>
      <w:bookmarkStart w:id="4370" w:name="_Toc477505918"/>
      <w:bookmarkStart w:id="4371" w:name="_Toc477960059"/>
      <w:bookmarkStart w:id="4372" w:name="_Toc477960505"/>
      <w:bookmarkStart w:id="4373" w:name="_Toc477960945"/>
      <w:bookmarkStart w:id="4374" w:name="_Toc477961384"/>
      <w:bookmarkStart w:id="4375" w:name="_Toc477961867"/>
      <w:bookmarkStart w:id="4376" w:name="_Toc477962354"/>
      <w:bookmarkStart w:id="4377" w:name="_Toc477962841"/>
      <w:bookmarkStart w:id="4378" w:name="_Toc477963327"/>
      <w:bookmarkStart w:id="4379" w:name="_Toc477963823"/>
      <w:bookmarkStart w:id="4380" w:name="_Toc478043025"/>
      <w:bookmarkStart w:id="4381" w:name="_Toc478367277"/>
      <w:bookmarkStart w:id="4382" w:name="_Toc479083889"/>
      <w:bookmarkStart w:id="4383" w:name="_Toc474396059"/>
      <w:bookmarkStart w:id="4384" w:name="_Toc474398263"/>
      <w:bookmarkStart w:id="4385" w:name="_Toc474413871"/>
      <w:bookmarkStart w:id="4386" w:name="_Toc474485354"/>
      <w:bookmarkStart w:id="4387" w:name="_Toc474924663"/>
      <w:bookmarkStart w:id="4388" w:name="_Toc475444273"/>
      <w:bookmarkStart w:id="4389" w:name="_Toc475444364"/>
      <w:bookmarkStart w:id="4390" w:name="_Toc477425549"/>
      <w:bookmarkStart w:id="4391" w:name="_Toc477425881"/>
      <w:bookmarkStart w:id="4392" w:name="_Toc477505919"/>
      <w:bookmarkStart w:id="4393" w:name="_Toc477960060"/>
      <w:bookmarkStart w:id="4394" w:name="_Toc477960506"/>
      <w:bookmarkStart w:id="4395" w:name="_Toc477960946"/>
      <w:bookmarkStart w:id="4396" w:name="_Toc477961385"/>
      <w:bookmarkStart w:id="4397" w:name="_Toc477961868"/>
      <w:bookmarkStart w:id="4398" w:name="_Toc477962355"/>
      <w:bookmarkStart w:id="4399" w:name="_Toc477962842"/>
      <w:bookmarkStart w:id="4400" w:name="_Toc477963328"/>
      <w:bookmarkStart w:id="4401" w:name="_Toc477963824"/>
      <w:bookmarkStart w:id="4402" w:name="_Toc478043026"/>
      <w:bookmarkStart w:id="4403" w:name="_Toc478367278"/>
      <w:bookmarkStart w:id="4404" w:name="_Toc479083890"/>
      <w:bookmarkStart w:id="4405" w:name="_Toc471374624"/>
      <w:bookmarkStart w:id="4406" w:name="_Toc483222956"/>
      <w:bookmarkStart w:id="4407" w:name="_Toc501621268"/>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r>
        <w:t>5.4 When</w:t>
      </w:r>
      <w:r w:rsidR="00983AE6">
        <w:t xml:space="preserve"> the provider must repay loan amounts</w:t>
      </w:r>
      <w:bookmarkEnd w:id="4406"/>
      <w:bookmarkEnd w:id="4407"/>
    </w:p>
    <w:p w14:paraId="166B5DE4" w14:textId="77777777" w:rsidR="00983AE6" w:rsidRDefault="00983AE6" w:rsidP="00983AE6">
      <w:bookmarkStart w:id="4408" w:name="_Toc461615917"/>
      <w:bookmarkStart w:id="4409" w:name="_Toc462035907"/>
      <w:bookmarkStart w:id="4410" w:name="_Toc461615918"/>
      <w:bookmarkStart w:id="4411" w:name="_Toc462035908"/>
      <w:bookmarkEnd w:id="4408"/>
      <w:bookmarkEnd w:id="4409"/>
      <w:bookmarkEnd w:id="4410"/>
      <w:bookmarkEnd w:id="4411"/>
      <w:r>
        <w:t>A</w:t>
      </w:r>
      <w:r w:rsidRPr="00FE2C02">
        <w:t xml:space="preserve"> course provider </w:t>
      </w:r>
      <w:r>
        <w:t xml:space="preserve">will be required to repay loan amounts in certain circumstances where </w:t>
      </w:r>
    </w:p>
    <w:p w14:paraId="2FFDB6F7" w14:textId="1C4FCF8A" w:rsidR="00983AE6" w:rsidRPr="005D0EAD" w:rsidRDefault="0016765E" w:rsidP="00A0727A">
      <w:pPr>
        <w:pStyle w:val="ListBullet"/>
        <w:numPr>
          <w:ilvl w:val="0"/>
          <w:numId w:val="74"/>
        </w:numPr>
      </w:pPr>
      <w:hyperlink w:anchor="_Students’_FEE-HELP_balance" w:history="1">
        <w:r w:rsidR="00983AE6" w:rsidRPr="008709FF">
          <w:rPr>
            <w:rStyle w:val="Hyperlink"/>
          </w:rPr>
          <w:t>students’ FEE-HELP balance</w:t>
        </w:r>
      </w:hyperlink>
      <w:r w:rsidR="00A0727A">
        <w:rPr>
          <w:rStyle w:val="Hyperlink"/>
        </w:rPr>
        <w:t>s</w:t>
      </w:r>
      <w:r w:rsidR="00983AE6" w:rsidRPr="007409F4">
        <w:t xml:space="preserve"> </w:t>
      </w:r>
      <w:r w:rsidR="00983AE6">
        <w:t>are</w:t>
      </w:r>
      <w:r w:rsidR="00983AE6" w:rsidRPr="007409F4">
        <w:t xml:space="preserve"> re credited</w:t>
      </w:r>
      <w:r w:rsidR="00983AE6" w:rsidRPr="005D0EAD">
        <w:t xml:space="preserve"> </w:t>
      </w:r>
      <w:r w:rsidR="00983AE6" w:rsidRPr="008709FF">
        <w:rPr>
          <w:rStyle w:val="ReferenceChar"/>
        </w:rPr>
        <w:t>[Act s 22(1)]</w:t>
      </w:r>
    </w:p>
    <w:p w14:paraId="3360F1FB" w14:textId="77777777" w:rsidR="00983AE6" w:rsidRPr="005D0EAD" w:rsidRDefault="00983AE6" w:rsidP="00A0727A">
      <w:pPr>
        <w:pStyle w:val="ListBullet"/>
        <w:numPr>
          <w:ilvl w:val="0"/>
          <w:numId w:val="74"/>
        </w:numPr>
      </w:pPr>
      <w:r w:rsidRPr="005D0EAD">
        <w:t xml:space="preserve">the provider </w:t>
      </w:r>
      <w:r>
        <w:t xml:space="preserve">was paid a loan amount purportedly </w:t>
      </w:r>
      <w:r w:rsidRPr="005D0EAD">
        <w:t>under th</w:t>
      </w:r>
      <w:r>
        <w:t>e</w:t>
      </w:r>
      <w:r w:rsidRPr="005D0EAD">
        <w:t xml:space="preserve"> Act that </w:t>
      </w:r>
      <w:hyperlink w:anchor="_Loan_amount_was" w:history="1">
        <w:r w:rsidRPr="008709FF">
          <w:rPr>
            <w:rStyle w:val="Hyperlink"/>
          </w:rPr>
          <w:t>was not payable</w:t>
        </w:r>
      </w:hyperlink>
      <w:r w:rsidRPr="005D0EAD">
        <w:t xml:space="preserve"> </w:t>
      </w:r>
      <w:r w:rsidRPr="008709FF">
        <w:rPr>
          <w:rStyle w:val="ReferenceChar"/>
        </w:rPr>
        <w:t>[Act s 22(2)]</w:t>
      </w:r>
    </w:p>
    <w:p w14:paraId="292FF244" w14:textId="77777777" w:rsidR="00983AE6" w:rsidRPr="005D0EAD" w:rsidRDefault="00983AE6" w:rsidP="00A0727A">
      <w:pPr>
        <w:pStyle w:val="ListBullet"/>
        <w:numPr>
          <w:ilvl w:val="0"/>
          <w:numId w:val="74"/>
        </w:numPr>
      </w:pPr>
      <w:r w:rsidRPr="005D0EAD">
        <w:t xml:space="preserve">the </w:t>
      </w:r>
      <w:hyperlink w:anchor="_Loan_amount_exceed" w:history="1">
        <w:r w:rsidRPr="008709FF">
          <w:rPr>
            <w:rStyle w:val="Hyperlink"/>
          </w:rPr>
          <w:t>provider exceeded its provider fee limit</w:t>
        </w:r>
      </w:hyperlink>
      <w:r w:rsidRPr="005D0EAD">
        <w:t xml:space="preserve"> </w:t>
      </w:r>
      <w:r w:rsidRPr="008709FF">
        <w:rPr>
          <w:rStyle w:val="ReferenceChar"/>
        </w:rPr>
        <w:t>[Act s 22(3)]</w:t>
      </w:r>
    </w:p>
    <w:p w14:paraId="2F6DEA81" w14:textId="77777777" w:rsidR="00983AE6" w:rsidRPr="005D0EAD" w:rsidRDefault="00983AE6" w:rsidP="00A0727A">
      <w:pPr>
        <w:pStyle w:val="ListBullet"/>
        <w:numPr>
          <w:ilvl w:val="0"/>
          <w:numId w:val="74"/>
        </w:numPr>
      </w:pPr>
      <w:r w:rsidRPr="005D0EAD">
        <w:t xml:space="preserve">there is debt due to the Commonwealth by the provider </w:t>
      </w:r>
      <w:r w:rsidRPr="008709FF">
        <w:rPr>
          <w:rStyle w:val="ReferenceChar"/>
        </w:rPr>
        <w:t>[Act s 22(4)]</w:t>
      </w:r>
    </w:p>
    <w:p w14:paraId="26CA1B80" w14:textId="77777777" w:rsidR="00983AE6" w:rsidRPr="005D0EAD" w:rsidRDefault="00983AE6" w:rsidP="00A0727A">
      <w:pPr>
        <w:pStyle w:val="ListBullet"/>
        <w:numPr>
          <w:ilvl w:val="0"/>
          <w:numId w:val="74"/>
        </w:numPr>
      </w:pPr>
      <w:r>
        <w:t>t</w:t>
      </w:r>
      <w:r w:rsidRPr="005D0EAD">
        <w:t xml:space="preserve">here is a debt from one or more loan amounts that would otherwise be payable to the course provider in relation to a student </w:t>
      </w:r>
      <w:r w:rsidRPr="008709FF">
        <w:rPr>
          <w:rStyle w:val="ReferenceChar"/>
        </w:rPr>
        <w:t>[Act s 22(5)]</w:t>
      </w:r>
    </w:p>
    <w:p w14:paraId="328DBFAA" w14:textId="77777777" w:rsidR="008B0A01" w:rsidRDefault="00983AE6" w:rsidP="00A0727A">
      <w:pPr>
        <w:pStyle w:val="ListBullet"/>
        <w:numPr>
          <w:ilvl w:val="0"/>
          <w:numId w:val="74"/>
        </w:numPr>
      </w:pPr>
      <w:r>
        <w:lastRenderedPageBreak/>
        <w:t xml:space="preserve">if </w:t>
      </w:r>
      <w:r w:rsidRPr="005D0EAD">
        <w:t xml:space="preserve">a debt is recovered from a loan amount that is otherwise payable in relation to a student, the amount recovered is taken to have been paid to the course provider in relation to the student </w:t>
      </w:r>
      <w:r w:rsidRPr="008709FF">
        <w:rPr>
          <w:rStyle w:val="ReferenceChar"/>
        </w:rPr>
        <w:t>[Act s 22(6)]</w:t>
      </w:r>
      <w:r w:rsidRPr="005D0EAD">
        <w:t>.</w:t>
      </w:r>
    </w:p>
    <w:p w14:paraId="21B0683B" w14:textId="77777777" w:rsidR="00983AE6" w:rsidRPr="00D83D47" w:rsidRDefault="00983AE6" w:rsidP="00983AE6">
      <w:pPr>
        <w:pStyle w:val="Heading3"/>
      </w:pPr>
      <w:bookmarkStart w:id="4412" w:name="_Students’_FEE-HELP_balance"/>
      <w:bookmarkStart w:id="4413" w:name="_Toc483222957"/>
      <w:bookmarkStart w:id="4414" w:name="_Toc501621269"/>
      <w:bookmarkEnd w:id="4412"/>
      <w:r>
        <w:t>5.</w:t>
      </w:r>
      <w:r w:rsidR="00DD471D">
        <w:t>4</w:t>
      </w:r>
      <w:r>
        <w:t xml:space="preserve">.1   </w:t>
      </w:r>
      <w:r w:rsidRPr="00D83D47">
        <w:t>Students’ FEE-HELP balance re-credited</w:t>
      </w:r>
      <w:bookmarkEnd w:id="4413"/>
      <w:bookmarkEnd w:id="4414"/>
      <w:r w:rsidRPr="00D83D47">
        <w:t xml:space="preserve"> </w:t>
      </w:r>
    </w:p>
    <w:p w14:paraId="079B5C34" w14:textId="77777777" w:rsidR="00983AE6" w:rsidRDefault="00983AE6" w:rsidP="008B0A01">
      <w:pPr>
        <w:spacing w:after="0"/>
      </w:pPr>
      <w:r>
        <w:t xml:space="preserve">A provider </w:t>
      </w:r>
      <w:r w:rsidRPr="00FE2C02">
        <w:t>must pay to the Commonwealth an amount e</w:t>
      </w:r>
      <w:r>
        <w:t>qual to the loan amount that was:</w:t>
      </w:r>
    </w:p>
    <w:p w14:paraId="6E2CF647" w14:textId="77777777" w:rsidR="00983AE6" w:rsidRDefault="00983AE6" w:rsidP="00A0727A">
      <w:pPr>
        <w:pStyle w:val="ListBullet"/>
        <w:numPr>
          <w:ilvl w:val="0"/>
          <w:numId w:val="74"/>
        </w:numPr>
        <w:spacing w:after="0"/>
      </w:pPr>
      <w:r w:rsidRPr="0074167F">
        <w:t>used to pay tuition fees for a student for a course</w:t>
      </w:r>
      <w:r>
        <w:t>,</w:t>
      </w:r>
      <w:r w:rsidRPr="0074167F">
        <w:t xml:space="preserve"> and </w:t>
      </w:r>
    </w:p>
    <w:p w14:paraId="4DF0F542" w14:textId="77777777" w:rsidR="00983AE6" w:rsidRDefault="00983AE6" w:rsidP="00A0727A">
      <w:pPr>
        <w:pStyle w:val="ListBullet"/>
        <w:numPr>
          <w:ilvl w:val="0"/>
          <w:numId w:val="74"/>
        </w:numPr>
      </w:pPr>
      <w:r w:rsidRPr="0074167F">
        <w:t xml:space="preserve">re-credited to the student’s FEE-HELP balance. </w:t>
      </w:r>
    </w:p>
    <w:p w14:paraId="2FFDBB5F" w14:textId="77777777" w:rsidR="00983AE6" w:rsidRDefault="00983AE6" w:rsidP="008B0A01">
      <w:pPr>
        <w:spacing w:after="0"/>
      </w:pPr>
      <w:r w:rsidRPr="0074167F">
        <w:t>For example</w:t>
      </w:r>
      <w:r>
        <w:t>, this would require repayment of a loan amount by a provider</w:t>
      </w:r>
      <w:r w:rsidR="00EB4CE2">
        <w:t xml:space="preserve"> where a student’s FEE</w:t>
      </w:r>
      <w:r w:rsidR="00EB4CE2">
        <w:rPr>
          <w:rFonts w:cstheme="minorHAnsi"/>
        </w:rPr>
        <w:t>−</w:t>
      </w:r>
      <w:r w:rsidRPr="0074167F">
        <w:t>HELP balance is re-credited</w:t>
      </w:r>
      <w:r>
        <w:t>:</w:t>
      </w:r>
    </w:p>
    <w:p w14:paraId="3409EF8C" w14:textId="77777777" w:rsidR="00983AE6" w:rsidRDefault="00983AE6" w:rsidP="00A0727A">
      <w:pPr>
        <w:pStyle w:val="ListBullet"/>
        <w:numPr>
          <w:ilvl w:val="0"/>
          <w:numId w:val="74"/>
        </w:numPr>
        <w:spacing w:after="0"/>
      </w:pPr>
      <w:r w:rsidRPr="0074167F">
        <w:t xml:space="preserve">for special circumstances (under section 68 of the Act), </w:t>
      </w:r>
    </w:p>
    <w:p w14:paraId="7C37A4FF" w14:textId="77777777" w:rsidR="00983AE6" w:rsidRDefault="00983AE6" w:rsidP="00A0727A">
      <w:pPr>
        <w:pStyle w:val="ListBullet"/>
        <w:numPr>
          <w:ilvl w:val="0"/>
          <w:numId w:val="74"/>
        </w:numPr>
      </w:pPr>
      <w:r w:rsidRPr="0074167F">
        <w:t xml:space="preserve">where the provider has ceased to provide a course (under section 69 of the Act), </w:t>
      </w:r>
    </w:p>
    <w:p w14:paraId="7DC1D45A" w14:textId="423BD3E8" w:rsidR="00983AE6" w:rsidRDefault="00983AE6" w:rsidP="00A0727A">
      <w:pPr>
        <w:pStyle w:val="ListBullet"/>
        <w:numPr>
          <w:ilvl w:val="0"/>
          <w:numId w:val="74"/>
        </w:numPr>
      </w:pPr>
      <w:r>
        <w:t>where the Secretary acts in place of the provider in either of the above situatio</w:t>
      </w:r>
      <w:r w:rsidR="00A0727A">
        <w:t>ns (under section </w:t>
      </w:r>
      <w:r>
        <w:t>70 of the Act),</w:t>
      </w:r>
    </w:p>
    <w:p w14:paraId="0FFC7B82" w14:textId="77777777" w:rsidR="00983AE6" w:rsidRPr="0074167F" w:rsidRDefault="00983AE6" w:rsidP="00A0727A">
      <w:pPr>
        <w:pStyle w:val="ListBullet"/>
        <w:numPr>
          <w:ilvl w:val="0"/>
          <w:numId w:val="74"/>
        </w:numPr>
      </w:pPr>
      <w:r w:rsidRPr="0074167F">
        <w:t>or where there has been unacceptable conduct by the provider</w:t>
      </w:r>
      <w:r>
        <w:t xml:space="preserve"> (under section 71 of the Act).</w:t>
      </w:r>
    </w:p>
    <w:p w14:paraId="641AD29C" w14:textId="77777777" w:rsidR="00983AE6" w:rsidRPr="008709FF" w:rsidRDefault="00983AE6" w:rsidP="00983AE6">
      <w:pPr>
        <w:pStyle w:val="Heading3"/>
      </w:pPr>
      <w:bookmarkStart w:id="4415" w:name="_Loan_amount_was"/>
      <w:bookmarkStart w:id="4416" w:name="_Toc483222958"/>
      <w:bookmarkStart w:id="4417" w:name="_Toc501621270"/>
      <w:bookmarkEnd w:id="4415"/>
      <w:r w:rsidRPr="008709FF">
        <w:t>5.</w:t>
      </w:r>
      <w:r w:rsidR="00DD471D">
        <w:t>4</w:t>
      </w:r>
      <w:r w:rsidRPr="008709FF">
        <w:t>.2   Loan amount was not payable</w:t>
      </w:r>
      <w:bookmarkEnd w:id="4416"/>
      <w:bookmarkEnd w:id="4417"/>
    </w:p>
    <w:p w14:paraId="740EA733" w14:textId="77777777" w:rsidR="00983AE6" w:rsidRDefault="00983AE6" w:rsidP="00983AE6">
      <w:r w:rsidRPr="00FE2C02">
        <w:t>A course provider must pay to the Commonwealth an amount equal to any amount that was purportedly paid to the provider under th</w:t>
      </w:r>
      <w:r>
        <w:t>e</w:t>
      </w:r>
      <w:r w:rsidRPr="00FE2C02">
        <w:t xml:space="preserve"> Act that was not payable. </w:t>
      </w:r>
      <w:r>
        <w:t>For example, where the payment has been erroneously made or made based on false information.</w:t>
      </w:r>
    </w:p>
    <w:p w14:paraId="71314B62" w14:textId="77777777" w:rsidR="00983AE6" w:rsidRPr="00D83D47" w:rsidRDefault="00983AE6" w:rsidP="00983AE6">
      <w:pPr>
        <w:pStyle w:val="Heading3"/>
      </w:pPr>
      <w:bookmarkStart w:id="4418" w:name="_Loan_amount_exceed"/>
      <w:bookmarkStart w:id="4419" w:name="_Toc483222959"/>
      <w:bookmarkStart w:id="4420" w:name="_Toc501621271"/>
      <w:bookmarkEnd w:id="4418"/>
      <w:r>
        <w:t>5.</w:t>
      </w:r>
      <w:r w:rsidR="00DD471D">
        <w:t>4</w:t>
      </w:r>
      <w:r>
        <w:t xml:space="preserve">.3   </w:t>
      </w:r>
      <w:r w:rsidRPr="00D83D47">
        <w:t xml:space="preserve">Loan amount exceed </w:t>
      </w:r>
      <w:r>
        <w:t xml:space="preserve">provider </w:t>
      </w:r>
      <w:r w:rsidRPr="00D83D47">
        <w:t>fee limit</w:t>
      </w:r>
      <w:bookmarkEnd w:id="4419"/>
      <w:bookmarkEnd w:id="4420"/>
    </w:p>
    <w:p w14:paraId="0B25D22F" w14:textId="77777777" w:rsidR="00983AE6" w:rsidRPr="00FE2C02" w:rsidRDefault="00983AE6" w:rsidP="00983AE6">
      <w:r w:rsidRPr="00FE2C02">
        <w:t xml:space="preserve">A course provider must pay to the Commonwealth an amount equal to any amount paid to the provider that exceeded a provider fee limit imposed on the provider. </w:t>
      </w:r>
    </w:p>
    <w:p w14:paraId="44FD17FC" w14:textId="77777777" w:rsidR="00983AE6" w:rsidRDefault="00983AE6" w:rsidP="00983AE6">
      <w:pPr>
        <w:rPr>
          <w:sz w:val="20"/>
          <w:szCs w:val="20"/>
        </w:rPr>
      </w:pPr>
      <w:r w:rsidRPr="00FE2C02">
        <w:t>An amount that a course provider must pay under this section is a debt due to the Commonwealth by the provider. The Commonwealth may recover the debt from one or more loan amounts that would otherwise be payable to the course provider in relation to a student. If a debt is recovered from a loan amount that is otherwise payable in relation to a student, the amount recovered is taken to have been paid to the course provider in relation to the student.</w:t>
      </w:r>
      <w:r>
        <w:rPr>
          <w:sz w:val="20"/>
          <w:szCs w:val="20"/>
        </w:rPr>
        <w:br w:type="page"/>
      </w:r>
    </w:p>
    <w:p w14:paraId="3C8E0041" w14:textId="77777777" w:rsidR="00983AE6" w:rsidRPr="008709FF" w:rsidRDefault="00983AE6" w:rsidP="00983AE6">
      <w:pPr>
        <w:pStyle w:val="Heading1"/>
      </w:pPr>
      <w:bookmarkStart w:id="4421" w:name="_Toc481649953"/>
      <w:bookmarkStart w:id="4422" w:name="_Toc481650429"/>
      <w:bookmarkStart w:id="4423" w:name="_Toc473708508"/>
      <w:bookmarkStart w:id="4424" w:name="_Toc473708587"/>
      <w:bookmarkStart w:id="4425" w:name="_Toc473719360"/>
      <w:bookmarkStart w:id="4426" w:name="_Toc474396061"/>
      <w:bookmarkStart w:id="4427" w:name="_Toc474398265"/>
      <w:bookmarkStart w:id="4428" w:name="_Toc474413873"/>
      <w:bookmarkStart w:id="4429" w:name="_Toc474485356"/>
      <w:bookmarkStart w:id="4430" w:name="_Toc477425551"/>
      <w:bookmarkStart w:id="4431" w:name="_Toc477425883"/>
      <w:bookmarkStart w:id="4432" w:name="_Toc477505921"/>
      <w:bookmarkStart w:id="4433" w:name="_Toc477960062"/>
      <w:bookmarkStart w:id="4434" w:name="_Toc477960508"/>
      <w:bookmarkStart w:id="4435" w:name="_Toc477960948"/>
      <w:bookmarkStart w:id="4436" w:name="_Toc477961387"/>
      <w:bookmarkStart w:id="4437" w:name="_Toc477961870"/>
      <w:bookmarkStart w:id="4438" w:name="_Toc477962357"/>
      <w:bookmarkStart w:id="4439" w:name="_Toc477962844"/>
      <w:bookmarkStart w:id="4440" w:name="_Toc477963330"/>
      <w:bookmarkStart w:id="4441" w:name="_Toc477963826"/>
      <w:bookmarkStart w:id="4442" w:name="_Toc478043028"/>
      <w:bookmarkStart w:id="4443" w:name="_Toc478367280"/>
      <w:bookmarkStart w:id="4444" w:name="_Toc479083892"/>
      <w:bookmarkStart w:id="4445" w:name="_Toc474924665"/>
      <w:bookmarkStart w:id="4446" w:name="_Toc475444275"/>
      <w:bookmarkStart w:id="4447" w:name="_Toc475444366"/>
      <w:bookmarkStart w:id="4448" w:name="_Toc477425552"/>
      <w:bookmarkStart w:id="4449" w:name="_Toc477425884"/>
      <w:bookmarkStart w:id="4450" w:name="_Toc477505922"/>
      <w:bookmarkStart w:id="4451" w:name="_Toc477960063"/>
      <w:bookmarkStart w:id="4452" w:name="_Toc477960509"/>
      <w:bookmarkStart w:id="4453" w:name="_Toc477960949"/>
      <w:bookmarkStart w:id="4454" w:name="_Toc477961388"/>
      <w:bookmarkStart w:id="4455" w:name="_Toc477961871"/>
      <w:bookmarkStart w:id="4456" w:name="_Toc477962358"/>
      <w:bookmarkStart w:id="4457" w:name="_Toc477962845"/>
      <w:bookmarkStart w:id="4458" w:name="_Toc477963331"/>
      <w:bookmarkStart w:id="4459" w:name="_Toc477963827"/>
      <w:bookmarkStart w:id="4460" w:name="_Toc478043029"/>
      <w:bookmarkStart w:id="4461" w:name="_Toc478367281"/>
      <w:bookmarkStart w:id="4462" w:name="_Toc479083893"/>
      <w:bookmarkStart w:id="4463" w:name="_Toc471285803"/>
      <w:bookmarkStart w:id="4464" w:name="_Toc471295731"/>
      <w:bookmarkStart w:id="4465" w:name="_Toc471300425"/>
      <w:bookmarkStart w:id="4466" w:name="_Toc471305925"/>
      <w:bookmarkStart w:id="4467" w:name="_Toc471306525"/>
      <w:bookmarkStart w:id="4468" w:name="_Toc471307041"/>
      <w:bookmarkStart w:id="4469" w:name="_Toc471307814"/>
      <w:bookmarkStart w:id="4470" w:name="_Toc471307923"/>
      <w:bookmarkStart w:id="4471" w:name="_Toc471368963"/>
      <w:bookmarkStart w:id="4472" w:name="_Toc471374313"/>
      <w:bookmarkStart w:id="4473" w:name="_Toc471374627"/>
      <w:bookmarkStart w:id="4474" w:name="_Toc473708509"/>
      <w:bookmarkStart w:id="4475" w:name="_Toc473708588"/>
      <w:bookmarkStart w:id="4476" w:name="_Toc473719361"/>
      <w:bookmarkStart w:id="4477" w:name="_Toc474396062"/>
      <w:bookmarkStart w:id="4478" w:name="_Toc474398266"/>
      <w:bookmarkStart w:id="4479" w:name="_Toc474413874"/>
      <w:bookmarkStart w:id="4480" w:name="_Toc474485357"/>
      <w:bookmarkStart w:id="4481" w:name="_Toc474924666"/>
      <w:bookmarkStart w:id="4482" w:name="_Toc475444276"/>
      <w:bookmarkStart w:id="4483" w:name="_Toc475444367"/>
      <w:bookmarkStart w:id="4484" w:name="_Toc477425553"/>
      <w:bookmarkStart w:id="4485" w:name="_Toc477425885"/>
      <w:bookmarkStart w:id="4486" w:name="_Toc477505923"/>
      <w:bookmarkStart w:id="4487" w:name="_Toc477960064"/>
      <w:bookmarkStart w:id="4488" w:name="_Toc477960510"/>
      <w:bookmarkStart w:id="4489" w:name="_Toc477960950"/>
      <w:bookmarkStart w:id="4490" w:name="_Toc477961389"/>
      <w:bookmarkStart w:id="4491" w:name="_Toc477961872"/>
      <w:bookmarkStart w:id="4492" w:name="_Toc477962359"/>
      <w:bookmarkStart w:id="4493" w:name="_Toc477962846"/>
      <w:bookmarkStart w:id="4494" w:name="_Toc477963332"/>
      <w:bookmarkStart w:id="4495" w:name="_Toc477963828"/>
      <w:bookmarkStart w:id="4496" w:name="_Toc478043030"/>
      <w:bookmarkStart w:id="4497" w:name="_Toc478367282"/>
      <w:bookmarkStart w:id="4498" w:name="_Toc479083894"/>
      <w:bookmarkStart w:id="4499" w:name="_Toc473708510"/>
      <w:bookmarkStart w:id="4500" w:name="_Toc473708589"/>
      <w:bookmarkStart w:id="4501" w:name="_Toc473719362"/>
      <w:bookmarkStart w:id="4502" w:name="_Toc474396063"/>
      <w:bookmarkStart w:id="4503" w:name="_Toc474398267"/>
      <w:bookmarkStart w:id="4504" w:name="_Toc474413875"/>
      <w:bookmarkStart w:id="4505" w:name="_Toc474485358"/>
      <w:bookmarkStart w:id="4506" w:name="_Toc474924667"/>
      <w:bookmarkStart w:id="4507" w:name="_Toc475444277"/>
      <w:bookmarkStart w:id="4508" w:name="_Toc475444368"/>
      <w:bookmarkStart w:id="4509" w:name="_Toc477425554"/>
      <w:bookmarkStart w:id="4510" w:name="_Toc477425886"/>
      <w:bookmarkStart w:id="4511" w:name="_Toc477505924"/>
      <w:bookmarkStart w:id="4512" w:name="_Toc477960065"/>
      <w:bookmarkStart w:id="4513" w:name="_Toc477960511"/>
      <w:bookmarkStart w:id="4514" w:name="_Toc477960951"/>
      <w:bookmarkStart w:id="4515" w:name="_Toc477961390"/>
      <w:bookmarkStart w:id="4516" w:name="_Toc477961873"/>
      <w:bookmarkStart w:id="4517" w:name="_Toc477962360"/>
      <w:bookmarkStart w:id="4518" w:name="_Toc477962847"/>
      <w:bookmarkStart w:id="4519" w:name="_Toc477963333"/>
      <w:bookmarkStart w:id="4520" w:name="_Toc477963829"/>
      <w:bookmarkStart w:id="4521" w:name="_Toc478043031"/>
      <w:bookmarkStart w:id="4522" w:name="_Toc478367283"/>
      <w:bookmarkStart w:id="4523" w:name="_Toc479083895"/>
      <w:bookmarkStart w:id="4524" w:name="_Toc473708511"/>
      <w:bookmarkStart w:id="4525" w:name="_Toc473708590"/>
      <w:bookmarkStart w:id="4526" w:name="_Toc473719363"/>
      <w:bookmarkStart w:id="4527" w:name="_Toc474396064"/>
      <w:bookmarkStart w:id="4528" w:name="_Toc474398268"/>
      <w:bookmarkStart w:id="4529" w:name="_Toc474413876"/>
      <w:bookmarkStart w:id="4530" w:name="_Toc474485359"/>
      <w:bookmarkStart w:id="4531" w:name="_Toc474924668"/>
      <w:bookmarkStart w:id="4532" w:name="_Toc475444278"/>
      <w:bookmarkStart w:id="4533" w:name="_Toc475444369"/>
      <w:bookmarkStart w:id="4534" w:name="_Toc477425555"/>
      <w:bookmarkStart w:id="4535" w:name="_Toc477425887"/>
      <w:bookmarkStart w:id="4536" w:name="_Toc477505925"/>
      <w:bookmarkStart w:id="4537" w:name="_Toc477960066"/>
      <w:bookmarkStart w:id="4538" w:name="_Toc477960512"/>
      <w:bookmarkStart w:id="4539" w:name="_Toc477960952"/>
      <w:bookmarkStart w:id="4540" w:name="_Toc477961391"/>
      <w:bookmarkStart w:id="4541" w:name="_Toc477961874"/>
      <w:bookmarkStart w:id="4542" w:name="_Toc477962361"/>
      <w:bookmarkStart w:id="4543" w:name="_Toc477962848"/>
      <w:bookmarkStart w:id="4544" w:name="_Toc477963334"/>
      <w:bookmarkStart w:id="4545" w:name="_Toc477963830"/>
      <w:bookmarkStart w:id="4546" w:name="_Toc478043032"/>
      <w:bookmarkStart w:id="4547" w:name="_Toc478367284"/>
      <w:bookmarkStart w:id="4548" w:name="_Toc479083896"/>
      <w:bookmarkStart w:id="4549" w:name="_Toc473708512"/>
      <w:bookmarkStart w:id="4550" w:name="_Toc473708591"/>
      <w:bookmarkStart w:id="4551" w:name="_Toc473719364"/>
      <w:bookmarkStart w:id="4552" w:name="_Toc474396065"/>
      <w:bookmarkStart w:id="4553" w:name="_Toc474398269"/>
      <w:bookmarkStart w:id="4554" w:name="_Toc474413877"/>
      <w:bookmarkStart w:id="4555" w:name="_Toc474485360"/>
      <w:bookmarkStart w:id="4556" w:name="_Toc474924669"/>
      <w:bookmarkStart w:id="4557" w:name="_Toc475444279"/>
      <w:bookmarkStart w:id="4558" w:name="_Toc475444370"/>
      <w:bookmarkStart w:id="4559" w:name="_Toc477425556"/>
      <w:bookmarkStart w:id="4560" w:name="_Toc477425888"/>
      <w:bookmarkStart w:id="4561" w:name="_Toc477505926"/>
      <w:bookmarkStart w:id="4562" w:name="_Toc477960067"/>
      <w:bookmarkStart w:id="4563" w:name="_Toc477960513"/>
      <w:bookmarkStart w:id="4564" w:name="_Toc477960953"/>
      <w:bookmarkStart w:id="4565" w:name="_Toc477961392"/>
      <w:bookmarkStart w:id="4566" w:name="_Toc477961875"/>
      <w:bookmarkStart w:id="4567" w:name="_Toc477962362"/>
      <w:bookmarkStart w:id="4568" w:name="_Toc477962849"/>
      <w:bookmarkStart w:id="4569" w:name="_Toc477963335"/>
      <w:bookmarkStart w:id="4570" w:name="_Toc477963831"/>
      <w:bookmarkStart w:id="4571" w:name="_Toc478043033"/>
      <w:bookmarkStart w:id="4572" w:name="_Toc478367285"/>
      <w:bookmarkStart w:id="4573" w:name="_Toc479083897"/>
      <w:bookmarkStart w:id="4574" w:name="_Toc473708513"/>
      <w:bookmarkStart w:id="4575" w:name="_Toc473708592"/>
      <w:bookmarkStart w:id="4576" w:name="_Toc473719365"/>
      <w:bookmarkStart w:id="4577" w:name="_Toc474396066"/>
      <w:bookmarkStart w:id="4578" w:name="_Toc474398270"/>
      <w:bookmarkStart w:id="4579" w:name="_Toc474413878"/>
      <w:bookmarkStart w:id="4580" w:name="_Toc474485361"/>
      <w:bookmarkStart w:id="4581" w:name="_Toc474924670"/>
      <w:bookmarkStart w:id="4582" w:name="_Toc475444280"/>
      <w:bookmarkStart w:id="4583" w:name="_Toc475444371"/>
      <w:bookmarkStart w:id="4584" w:name="_Toc477425557"/>
      <w:bookmarkStart w:id="4585" w:name="_Toc477425889"/>
      <w:bookmarkStart w:id="4586" w:name="_Toc477505927"/>
      <w:bookmarkStart w:id="4587" w:name="_Toc477960068"/>
      <w:bookmarkStart w:id="4588" w:name="_Toc477960514"/>
      <w:bookmarkStart w:id="4589" w:name="_Toc477960954"/>
      <w:bookmarkStart w:id="4590" w:name="_Toc477961393"/>
      <w:bookmarkStart w:id="4591" w:name="_Toc477961876"/>
      <w:bookmarkStart w:id="4592" w:name="_Toc477962363"/>
      <w:bookmarkStart w:id="4593" w:name="_Toc477962850"/>
      <w:bookmarkStart w:id="4594" w:name="_Toc477963336"/>
      <w:bookmarkStart w:id="4595" w:name="_Toc477963832"/>
      <w:bookmarkStart w:id="4596" w:name="_Toc478043034"/>
      <w:bookmarkStart w:id="4597" w:name="_Toc478367286"/>
      <w:bookmarkStart w:id="4598" w:name="_Toc479083898"/>
      <w:bookmarkStart w:id="4599" w:name="_Toc471715390"/>
      <w:bookmarkStart w:id="4600" w:name="_Toc471716908"/>
      <w:bookmarkStart w:id="4601" w:name="_Toc471731143"/>
      <w:bookmarkStart w:id="4602" w:name="_Toc471802453"/>
      <w:bookmarkStart w:id="4603" w:name="_Toc471803459"/>
      <w:bookmarkStart w:id="4604" w:name="_Toc471803577"/>
      <w:bookmarkStart w:id="4605" w:name="_Toc471803730"/>
      <w:bookmarkStart w:id="4606" w:name="_Toc471803773"/>
      <w:bookmarkStart w:id="4607" w:name="_Toc471803986"/>
      <w:bookmarkStart w:id="4608" w:name="_Toc471804228"/>
      <w:bookmarkStart w:id="4609" w:name="_Toc471817506"/>
      <w:bookmarkStart w:id="4610" w:name="_Toc473016851"/>
      <w:bookmarkStart w:id="4611" w:name="_Toc473021549"/>
      <w:bookmarkStart w:id="4612" w:name="_Toc473021649"/>
      <w:bookmarkStart w:id="4613" w:name="_Toc473532513"/>
      <w:bookmarkStart w:id="4614" w:name="_Toc473707803"/>
      <w:bookmarkStart w:id="4615" w:name="_Toc473708514"/>
      <w:bookmarkStart w:id="4616" w:name="_Toc473708593"/>
      <w:bookmarkStart w:id="4617" w:name="_Toc473719366"/>
      <w:bookmarkStart w:id="4618" w:name="_Toc474396067"/>
      <w:bookmarkStart w:id="4619" w:name="_Toc474398271"/>
      <w:bookmarkStart w:id="4620" w:name="_Toc474413879"/>
      <w:bookmarkStart w:id="4621" w:name="_Toc474485362"/>
      <w:bookmarkStart w:id="4622" w:name="_Toc474924671"/>
      <w:bookmarkStart w:id="4623" w:name="_Toc475444281"/>
      <w:bookmarkStart w:id="4624" w:name="_Toc475444372"/>
      <w:bookmarkStart w:id="4625" w:name="_Toc477425558"/>
      <w:bookmarkStart w:id="4626" w:name="_Toc477425890"/>
      <w:bookmarkStart w:id="4627" w:name="_Toc477505928"/>
      <w:bookmarkStart w:id="4628" w:name="_Toc477960069"/>
      <w:bookmarkStart w:id="4629" w:name="_Toc477960515"/>
      <w:bookmarkStart w:id="4630" w:name="_Toc477960955"/>
      <w:bookmarkStart w:id="4631" w:name="_Toc477961394"/>
      <w:bookmarkStart w:id="4632" w:name="_Toc477961877"/>
      <w:bookmarkStart w:id="4633" w:name="_Toc477962364"/>
      <w:bookmarkStart w:id="4634" w:name="_Toc477962851"/>
      <w:bookmarkStart w:id="4635" w:name="_Toc477963337"/>
      <w:bookmarkStart w:id="4636" w:name="_Toc477963833"/>
      <w:bookmarkStart w:id="4637" w:name="_Toc478043035"/>
      <w:bookmarkStart w:id="4638" w:name="_Toc478367287"/>
      <w:bookmarkStart w:id="4639" w:name="_Toc479083899"/>
      <w:bookmarkStart w:id="4640" w:name="_Toc471374629"/>
      <w:bookmarkStart w:id="4641" w:name="_Toc477960070"/>
      <w:bookmarkStart w:id="4642" w:name="_Toc483222960"/>
      <w:bookmarkStart w:id="4643" w:name="_Toc501621272"/>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rsidRPr="008709FF">
        <w:lastRenderedPageBreak/>
        <w:t>Appendices</w:t>
      </w:r>
      <w:bookmarkEnd w:id="4640"/>
      <w:bookmarkEnd w:id="4641"/>
      <w:bookmarkEnd w:id="4642"/>
      <w:bookmarkEnd w:id="4643"/>
    </w:p>
    <w:p w14:paraId="2EAC920F" w14:textId="77777777" w:rsidR="00983AE6" w:rsidRPr="008709FF" w:rsidRDefault="00983AE6" w:rsidP="00983AE6">
      <w:pPr>
        <w:pStyle w:val="Heading2"/>
      </w:pPr>
      <w:bookmarkStart w:id="4644" w:name="_Toc339446938"/>
      <w:bookmarkStart w:id="4645" w:name="_Toc339452105"/>
      <w:bookmarkStart w:id="4646" w:name="_Toc339456442"/>
      <w:bookmarkStart w:id="4647" w:name="_Toc339456825"/>
      <w:bookmarkStart w:id="4648" w:name="_Toc339457192"/>
      <w:bookmarkStart w:id="4649" w:name="_Toc339457558"/>
      <w:bookmarkStart w:id="4650" w:name="_Toc339457924"/>
      <w:bookmarkStart w:id="4651" w:name="_Toc339458290"/>
      <w:bookmarkStart w:id="4652" w:name="_Toc339458654"/>
      <w:bookmarkStart w:id="4653" w:name="_Toc339459019"/>
      <w:bookmarkStart w:id="4654" w:name="_Toc339463116"/>
      <w:bookmarkStart w:id="4655" w:name="_Toc339543593"/>
      <w:bookmarkStart w:id="4656" w:name="_Toc339543992"/>
      <w:bookmarkStart w:id="4657" w:name="_Toc339544390"/>
      <w:bookmarkStart w:id="4658" w:name="_Toc339549041"/>
      <w:bookmarkStart w:id="4659" w:name="_Toc339549629"/>
      <w:bookmarkStart w:id="4660" w:name="_Toc339550006"/>
      <w:bookmarkStart w:id="4661" w:name="_Toc339965144"/>
      <w:bookmarkStart w:id="4662" w:name="_Toc339447080"/>
      <w:bookmarkStart w:id="4663" w:name="_Toc339452247"/>
      <w:bookmarkStart w:id="4664" w:name="_Toc339456584"/>
      <w:bookmarkStart w:id="4665" w:name="_Toc339456967"/>
      <w:bookmarkStart w:id="4666" w:name="_Toc339457334"/>
      <w:bookmarkStart w:id="4667" w:name="_Toc339457700"/>
      <w:bookmarkStart w:id="4668" w:name="_Toc339458066"/>
      <w:bookmarkStart w:id="4669" w:name="_Toc339458432"/>
      <w:bookmarkStart w:id="4670" w:name="_Toc339458796"/>
      <w:bookmarkStart w:id="4671" w:name="_Toc339459161"/>
      <w:bookmarkStart w:id="4672" w:name="_Toc339463258"/>
      <w:bookmarkStart w:id="4673" w:name="_Toc339543735"/>
      <w:bookmarkStart w:id="4674" w:name="_Toc339544134"/>
      <w:bookmarkStart w:id="4675" w:name="_Toc339544532"/>
      <w:bookmarkStart w:id="4676" w:name="_Toc339549183"/>
      <w:bookmarkStart w:id="4677" w:name="_Toc339549771"/>
      <w:bookmarkStart w:id="4678" w:name="_Toc339550148"/>
      <w:bookmarkStart w:id="4679" w:name="_Toc339965286"/>
      <w:bookmarkStart w:id="4680" w:name="_Sample_Request_for"/>
      <w:bookmarkStart w:id="4681" w:name="_Toc469390696"/>
      <w:bookmarkStart w:id="4682" w:name="_Toc469390697"/>
      <w:bookmarkStart w:id="4683" w:name="_Toc458083589"/>
      <w:bookmarkStart w:id="4684" w:name="_Toc458086113"/>
      <w:bookmarkStart w:id="4685" w:name="_Toc458166437"/>
      <w:bookmarkStart w:id="4686" w:name="_Toc458166952"/>
      <w:bookmarkStart w:id="4687" w:name="_Toc458167466"/>
      <w:bookmarkStart w:id="4688" w:name="_Toc458167980"/>
      <w:bookmarkStart w:id="4689" w:name="_Toc458168495"/>
      <w:bookmarkStart w:id="4690" w:name="_Toc458169012"/>
      <w:bookmarkStart w:id="4691" w:name="_Toc458169526"/>
      <w:bookmarkStart w:id="4692" w:name="_Toc458170040"/>
      <w:bookmarkStart w:id="4693" w:name="_Toc458674682"/>
      <w:bookmarkStart w:id="4694" w:name="_Toc459187646"/>
      <w:bookmarkStart w:id="4695" w:name="_Toc459210472"/>
      <w:bookmarkStart w:id="4696" w:name="_Toc459639805"/>
      <w:bookmarkStart w:id="4697" w:name="_Toc459796140"/>
      <w:bookmarkStart w:id="4698" w:name="_Toc459978060"/>
      <w:bookmarkStart w:id="4699" w:name="_Toc458083590"/>
      <w:bookmarkStart w:id="4700" w:name="_Toc458086114"/>
      <w:bookmarkStart w:id="4701" w:name="_Toc458166438"/>
      <w:bookmarkStart w:id="4702" w:name="_Toc458166953"/>
      <w:bookmarkStart w:id="4703" w:name="_Toc458167467"/>
      <w:bookmarkStart w:id="4704" w:name="_Toc458167981"/>
      <w:bookmarkStart w:id="4705" w:name="_Toc458168496"/>
      <w:bookmarkStart w:id="4706" w:name="_Toc458169013"/>
      <w:bookmarkStart w:id="4707" w:name="_Toc458169527"/>
      <w:bookmarkStart w:id="4708" w:name="_Toc458170041"/>
      <w:bookmarkStart w:id="4709" w:name="_Toc458674683"/>
      <w:bookmarkStart w:id="4710" w:name="_Toc459187647"/>
      <w:bookmarkStart w:id="4711" w:name="_Toc459210473"/>
      <w:bookmarkStart w:id="4712" w:name="_Toc459639806"/>
      <w:bookmarkStart w:id="4713" w:name="_Toc459796141"/>
      <w:bookmarkStart w:id="4714" w:name="_Toc459978061"/>
      <w:bookmarkStart w:id="4715" w:name="_Toc339368264"/>
      <w:bookmarkStart w:id="4716" w:name="_Toc339447084"/>
      <w:bookmarkStart w:id="4717" w:name="_Toc339452251"/>
      <w:bookmarkStart w:id="4718" w:name="_Toc339456588"/>
      <w:bookmarkStart w:id="4719" w:name="_Toc339456971"/>
      <w:bookmarkStart w:id="4720" w:name="_Toc339457338"/>
      <w:bookmarkStart w:id="4721" w:name="_Toc339457704"/>
      <w:bookmarkStart w:id="4722" w:name="_Toc339458070"/>
      <w:bookmarkStart w:id="4723" w:name="_Toc339458436"/>
      <w:bookmarkStart w:id="4724" w:name="_Toc339458800"/>
      <w:bookmarkStart w:id="4725" w:name="_Toc339459165"/>
      <w:bookmarkStart w:id="4726" w:name="_Toc339463262"/>
      <w:bookmarkStart w:id="4727" w:name="_Toc339543739"/>
      <w:bookmarkStart w:id="4728" w:name="_Toc339544138"/>
      <w:bookmarkStart w:id="4729" w:name="_Toc339544536"/>
      <w:bookmarkStart w:id="4730" w:name="_Toc339549187"/>
      <w:bookmarkStart w:id="4731" w:name="_Toc339549775"/>
      <w:bookmarkStart w:id="4732" w:name="_Toc339550152"/>
      <w:bookmarkStart w:id="4733" w:name="_Toc339965290"/>
      <w:bookmarkStart w:id="4734" w:name="_Permanent_humanitarian_visa"/>
      <w:bookmarkStart w:id="4735" w:name="_Toc458083591"/>
      <w:bookmarkStart w:id="4736" w:name="_Toc458086115"/>
      <w:bookmarkStart w:id="4737" w:name="_Toc458166439"/>
      <w:bookmarkStart w:id="4738" w:name="_Toc458166954"/>
      <w:bookmarkStart w:id="4739" w:name="_Toc458167468"/>
      <w:bookmarkStart w:id="4740" w:name="_Toc458167982"/>
      <w:bookmarkStart w:id="4741" w:name="_Toc458168497"/>
      <w:bookmarkStart w:id="4742" w:name="_Toc458169014"/>
      <w:bookmarkStart w:id="4743" w:name="_Toc458169528"/>
      <w:bookmarkStart w:id="4744" w:name="_Toc458170042"/>
      <w:bookmarkStart w:id="4745" w:name="_Toc458674684"/>
      <w:bookmarkStart w:id="4746" w:name="_Toc459187648"/>
      <w:bookmarkStart w:id="4747" w:name="_Toc459210474"/>
      <w:bookmarkStart w:id="4748" w:name="_Toc459639807"/>
      <w:bookmarkStart w:id="4749" w:name="_Toc459796142"/>
      <w:bookmarkStart w:id="4750" w:name="_Toc459978062"/>
      <w:bookmarkStart w:id="4751" w:name="_Toc458083592"/>
      <w:bookmarkStart w:id="4752" w:name="_Toc458086116"/>
      <w:bookmarkStart w:id="4753" w:name="_Toc458166440"/>
      <w:bookmarkStart w:id="4754" w:name="_Toc458166955"/>
      <w:bookmarkStart w:id="4755" w:name="_Toc458167469"/>
      <w:bookmarkStart w:id="4756" w:name="_Toc458167983"/>
      <w:bookmarkStart w:id="4757" w:name="_Toc458168498"/>
      <w:bookmarkStart w:id="4758" w:name="_Toc458169015"/>
      <w:bookmarkStart w:id="4759" w:name="_Toc458169529"/>
      <w:bookmarkStart w:id="4760" w:name="_Toc458170043"/>
      <w:bookmarkStart w:id="4761" w:name="_Toc458674685"/>
      <w:bookmarkStart w:id="4762" w:name="_Toc459187649"/>
      <w:bookmarkStart w:id="4763" w:name="_Toc459210475"/>
      <w:bookmarkStart w:id="4764" w:name="_Toc459639808"/>
      <w:bookmarkStart w:id="4765" w:name="_Toc459796143"/>
      <w:bookmarkStart w:id="4766" w:name="_Toc459978063"/>
      <w:bookmarkStart w:id="4767" w:name="_Toc458083593"/>
      <w:bookmarkStart w:id="4768" w:name="_Toc458086117"/>
      <w:bookmarkStart w:id="4769" w:name="_Toc458166441"/>
      <w:bookmarkStart w:id="4770" w:name="_Toc458166956"/>
      <w:bookmarkStart w:id="4771" w:name="_Toc458167470"/>
      <w:bookmarkStart w:id="4772" w:name="_Toc458167984"/>
      <w:bookmarkStart w:id="4773" w:name="_Toc458168499"/>
      <w:bookmarkStart w:id="4774" w:name="_Toc458169016"/>
      <w:bookmarkStart w:id="4775" w:name="_Toc458169530"/>
      <w:bookmarkStart w:id="4776" w:name="_Toc458170044"/>
      <w:bookmarkStart w:id="4777" w:name="_Toc458674686"/>
      <w:bookmarkStart w:id="4778" w:name="_Toc459187650"/>
      <w:bookmarkStart w:id="4779" w:name="_Toc459210476"/>
      <w:bookmarkStart w:id="4780" w:name="_Toc459639809"/>
      <w:bookmarkStart w:id="4781" w:name="_Toc459796144"/>
      <w:bookmarkStart w:id="4782" w:name="_Toc459978064"/>
      <w:bookmarkStart w:id="4783" w:name="_Toc458083653"/>
      <w:bookmarkStart w:id="4784" w:name="_Toc458086177"/>
      <w:bookmarkStart w:id="4785" w:name="_Toc458166501"/>
      <w:bookmarkStart w:id="4786" w:name="_Toc458167016"/>
      <w:bookmarkStart w:id="4787" w:name="_Toc458167530"/>
      <w:bookmarkStart w:id="4788" w:name="_Toc458168044"/>
      <w:bookmarkStart w:id="4789" w:name="_Toc458168559"/>
      <w:bookmarkStart w:id="4790" w:name="_Toc458169076"/>
      <w:bookmarkStart w:id="4791" w:name="_Toc458169590"/>
      <w:bookmarkStart w:id="4792" w:name="_Toc458170104"/>
      <w:bookmarkStart w:id="4793" w:name="_Toc458674746"/>
      <w:bookmarkStart w:id="4794" w:name="_Toc459187710"/>
      <w:bookmarkStart w:id="4795" w:name="_Toc459210536"/>
      <w:bookmarkStart w:id="4796" w:name="_Toc459639869"/>
      <w:bookmarkStart w:id="4797" w:name="_Toc459796204"/>
      <w:bookmarkStart w:id="4798" w:name="_Toc459978124"/>
      <w:bookmarkStart w:id="4799" w:name="_Sample_Certificate_of"/>
      <w:bookmarkStart w:id="4800" w:name="_Samples_of_evidence"/>
      <w:bookmarkStart w:id="4801" w:name="_Toc469390698"/>
      <w:bookmarkStart w:id="4802" w:name="_Toc469390699"/>
      <w:bookmarkStart w:id="4803" w:name="_Toc469390700"/>
      <w:bookmarkStart w:id="4804" w:name="_Toc469390701"/>
      <w:bookmarkStart w:id="4805" w:name="_Toc469390702"/>
      <w:bookmarkStart w:id="4806" w:name="_Toc469390703"/>
      <w:bookmarkStart w:id="4807" w:name="_Toc469390704"/>
      <w:bookmarkStart w:id="4808" w:name="_Toc469390705"/>
      <w:bookmarkStart w:id="4809" w:name="_Toc469390706"/>
      <w:bookmarkStart w:id="4810" w:name="_Sample_wording_for"/>
      <w:bookmarkStart w:id="4811" w:name="_Sample_TFN_notifications"/>
      <w:bookmarkStart w:id="4812" w:name="_Toc461448900"/>
      <w:bookmarkStart w:id="4813" w:name="_Toc461448901"/>
      <w:bookmarkStart w:id="4814" w:name="_Toc461448906"/>
      <w:bookmarkStart w:id="4815" w:name="_Toc461448907"/>
      <w:bookmarkStart w:id="4816" w:name="_Toc461448908"/>
      <w:bookmarkStart w:id="4817" w:name="_Toc461448912"/>
      <w:bookmarkStart w:id="4818" w:name="_Toc461448917"/>
      <w:bookmarkStart w:id="4819" w:name="_Toc461448918"/>
      <w:bookmarkStart w:id="4820" w:name="_Toc461448919"/>
      <w:bookmarkStart w:id="4821" w:name="_Toc461448921"/>
      <w:bookmarkStart w:id="4822" w:name="_Appendix_B_–"/>
      <w:bookmarkStart w:id="4823" w:name="_Appendix_A_–"/>
      <w:bookmarkStart w:id="4824" w:name="_Toc471374631"/>
      <w:bookmarkStart w:id="4825" w:name="_Toc477960071"/>
      <w:bookmarkStart w:id="4826" w:name="_Toc483222961"/>
      <w:bookmarkStart w:id="4827" w:name="_Toc50162127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r w:rsidRPr="008709FF">
        <w:t>Appendix A – Civil penalties and criminal offences</w:t>
      </w:r>
      <w:bookmarkEnd w:id="4824"/>
      <w:bookmarkEnd w:id="4825"/>
      <w:bookmarkEnd w:id="4826"/>
      <w:bookmarkEnd w:id="4827"/>
      <w:r w:rsidRPr="008709FF">
        <w:t xml:space="preserve"> </w:t>
      </w:r>
    </w:p>
    <w:tbl>
      <w:tblPr>
        <w:tblStyle w:val="MadTabPlumShad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hort description provisions including civil penalty units and offence provisions"/>
        <w:tblDescription w:val="Short description provisions including civil penalty units and offence provisions"/>
      </w:tblPr>
      <w:tblGrid>
        <w:gridCol w:w="8364"/>
        <w:gridCol w:w="992"/>
      </w:tblGrid>
      <w:tr w:rsidR="00983AE6" w:rsidRPr="00983AE6" w14:paraId="6D044244" w14:textId="77777777" w:rsidTr="005F300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364" w:type="dxa"/>
            <w:shd w:val="clear" w:color="auto" w:fill="24206B"/>
          </w:tcPr>
          <w:p w14:paraId="2D6C1820" w14:textId="77777777" w:rsidR="00983AE6" w:rsidRPr="00EB4CE2" w:rsidRDefault="00983AE6" w:rsidP="00983AE6">
            <w:pPr>
              <w:pStyle w:val="Tableheading"/>
              <w:rPr>
                <w:b/>
              </w:rPr>
            </w:pPr>
            <w:r w:rsidRPr="00EB4CE2">
              <w:rPr>
                <w:b/>
              </w:rPr>
              <w:t>Short description provisions including civil penalty units and offence provisions</w:t>
            </w:r>
          </w:p>
        </w:tc>
        <w:tc>
          <w:tcPr>
            <w:tcW w:w="992" w:type="dxa"/>
            <w:shd w:val="clear" w:color="auto" w:fill="24206B"/>
          </w:tcPr>
          <w:p w14:paraId="26E652D3" w14:textId="77777777" w:rsidR="00983AE6" w:rsidRPr="00EB4CE2" w:rsidRDefault="00983AE6" w:rsidP="00983AE6">
            <w:pPr>
              <w:pStyle w:val="Tableheading"/>
              <w:cnfStyle w:val="100000000000" w:firstRow="1" w:lastRow="0" w:firstColumn="0" w:lastColumn="0" w:oddVBand="0" w:evenVBand="0" w:oddHBand="0" w:evenHBand="0" w:firstRowFirstColumn="0" w:firstRowLastColumn="0" w:lastRowFirstColumn="0" w:lastRowLastColumn="0"/>
              <w:rPr>
                <w:b/>
              </w:rPr>
            </w:pPr>
            <w:r w:rsidRPr="00EB4CE2">
              <w:rPr>
                <w:b/>
              </w:rPr>
              <w:t>Act</w:t>
            </w:r>
          </w:p>
        </w:tc>
      </w:tr>
      <w:tr w:rsidR="00983AE6" w:rsidRPr="00983AE6" w14:paraId="5A728A35"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576F0DD5" w14:textId="77777777" w:rsidR="00983AE6" w:rsidRPr="00EB4CE2" w:rsidRDefault="00983AE6" w:rsidP="005F300B">
            <w:pPr>
              <w:pStyle w:val="tablesubheading"/>
              <w:rPr>
                <w:b/>
              </w:rPr>
            </w:pPr>
            <w:r w:rsidRPr="00EB4CE2">
              <w:rPr>
                <w:b/>
              </w:rPr>
              <w:t xml:space="preserve">Loans to students </w:t>
            </w:r>
          </w:p>
        </w:tc>
      </w:tr>
      <w:tr w:rsidR="00983AE6" w:rsidRPr="00983AE6" w14:paraId="501F5D53"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772CE752" w14:textId="77777777" w:rsidR="00983AE6" w:rsidRPr="00EB4CE2" w:rsidRDefault="00983AE6" w:rsidP="005F300B">
            <w:pPr>
              <w:spacing w:after="144"/>
              <w:rPr>
                <w:rFonts w:cstheme="minorHAnsi"/>
                <w:b w:val="0"/>
              </w:rPr>
            </w:pPr>
            <w:r w:rsidRPr="00EB4CE2">
              <w:rPr>
                <w:rFonts w:cstheme="minorHAnsi"/>
                <w:b w:val="0"/>
              </w:rPr>
              <w:t>Provider completes, or assists a student to complete, anything the student is required to do for the purposes of determining whether the student is ‘academically suited’ to undertake an approved course.</w:t>
            </w:r>
          </w:p>
          <w:p w14:paraId="10B32D5A" w14:textId="77777777" w:rsidR="00983AE6" w:rsidRPr="00EB4CE2" w:rsidRDefault="00983AE6" w:rsidP="005F300B">
            <w:pPr>
              <w:spacing w:after="144"/>
              <w:rPr>
                <w:rStyle w:val="Strong"/>
                <w:rFonts w:cstheme="minorHAnsi"/>
                <w:b/>
              </w:rPr>
            </w:pPr>
            <w:r w:rsidRPr="00EB4CE2">
              <w:rPr>
                <w:rStyle w:val="Strong"/>
                <w:rFonts w:cstheme="minorHAnsi"/>
                <w:b/>
              </w:rPr>
              <w:t>120 penalty units</w:t>
            </w:r>
          </w:p>
        </w:tc>
        <w:tc>
          <w:tcPr>
            <w:tcW w:w="992" w:type="dxa"/>
          </w:tcPr>
          <w:p w14:paraId="44DF9336"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s12(3)</w:t>
            </w:r>
          </w:p>
        </w:tc>
      </w:tr>
      <w:tr w:rsidR="00983AE6" w:rsidRPr="00983AE6" w14:paraId="16794834"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5E4C29C5" w14:textId="77777777" w:rsidR="00983AE6" w:rsidRPr="00EB4CE2" w:rsidRDefault="00983AE6" w:rsidP="005F300B">
            <w:pPr>
              <w:spacing w:after="144"/>
              <w:rPr>
                <w:rFonts w:cstheme="minorHAnsi"/>
                <w:b w:val="0"/>
              </w:rPr>
            </w:pPr>
            <w:r w:rsidRPr="00EB4CE2">
              <w:rPr>
                <w:rFonts w:cstheme="minorHAnsi"/>
                <w:b w:val="0"/>
              </w:rPr>
              <w:t>Provider completes any part of an application for a VET student loan that the student is required to complete.</w:t>
            </w:r>
          </w:p>
          <w:p w14:paraId="2AEB44A2" w14:textId="77777777" w:rsidR="00983AE6" w:rsidRPr="00607DD4" w:rsidRDefault="00983AE6" w:rsidP="005F300B">
            <w:pPr>
              <w:spacing w:after="144"/>
              <w:rPr>
                <w:rFonts w:cstheme="minorHAnsi"/>
              </w:rPr>
            </w:pPr>
            <w:r w:rsidRPr="00607DD4">
              <w:rPr>
                <w:rFonts w:cstheme="minorHAnsi"/>
              </w:rPr>
              <w:t>120 penalty units</w:t>
            </w:r>
          </w:p>
        </w:tc>
        <w:tc>
          <w:tcPr>
            <w:tcW w:w="992" w:type="dxa"/>
          </w:tcPr>
          <w:p w14:paraId="1EB4BB11"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 xml:space="preserve">s17(5) </w:t>
            </w:r>
          </w:p>
        </w:tc>
      </w:tr>
      <w:tr w:rsidR="00983AE6" w:rsidRPr="00983AE6" w14:paraId="5FA776DD"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45D3C23D" w14:textId="77777777" w:rsidR="00983AE6" w:rsidRPr="00EB4CE2" w:rsidRDefault="00983AE6" w:rsidP="005F300B">
            <w:pPr>
              <w:spacing w:after="144"/>
              <w:rPr>
                <w:rFonts w:cstheme="minorHAnsi"/>
                <w:b w:val="0"/>
              </w:rPr>
            </w:pPr>
            <w:r w:rsidRPr="00EB4CE2">
              <w:rPr>
                <w:rFonts w:cstheme="minorHAnsi"/>
                <w:b w:val="0"/>
              </w:rPr>
              <w:t xml:space="preserve">Provider collects information for the purpose of, or in relation to, applications by students for </w:t>
            </w:r>
            <w:r w:rsidR="00454ED5">
              <w:rPr>
                <w:rFonts w:cstheme="minorHAnsi"/>
                <w:b w:val="0"/>
              </w:rPr>
              <w:t>VET Student Loans</w:t>
            </w:r>
            <w:r w:rsidRPr="00EB4CE2">
              <w:rPr>
                <w:rFonts w:cstheme="minorHAnsi"/>
                <w:b w:val="0"/>
              </w:rPr>
              <w:t>, and provides the collected information or information based on the collected information to the Secretary, and the information so provided omits a material particular or is incorrect in a material particular (note: Providers need to verify information collected).</w:t>
            </w:r>
          </w:p>
          <w:p w14:paraId="67CF85B5" w14:textId="77777777" w:rsidR="00983AE6" w:rsidRPr="00607DD4" w:rsidRDefault="00983AE6" w:rsidP="005F300B">
            <w:pPr>
              <w:spacing w:after="144"/>
              <w:rPr>
                <w:rFonts w:cstheme="minorHAnsi"/>
              </w:rPr>
            </w:pPr>
            <w:r w:rsidRPr="00607DD4">
              <w:rPr>
                <w:rFonts w:cstheme="minorHAnsi"/>
              </w:rPr>
              <w:t>120 penalty units</w:t>
            </w:r>
          </w:p>
        </w:tc>
        <w:tc>
          <w:tcPr>
            <w:tcW w:w="992" w:type="dxa"/>
          </w:tcPr>
          <w:p w14:paraId="1F497202"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s17(6)</w:t>
            </w:r>
          </w:p>
        </w:tc>
      </w:tr>
      <w:tr w:rsidR="00983AE6" w:rsidRPr="00983AE6" w14:paraId="16F73B3A"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3687E8B5" w14:textId="77777777" w:rsidR="00983AE6" w:rsidRPr="000D3B6E" w:rsidRDefault="00983AE6" w:rsidP="005F300B">
            <w:pPr>
              <w:pStyle w:val="tablesubheading"/>
              <w:rPr>
                <w:b/>
              </w:rPr>
            </w:pPr>
            <w:r w:rsidRPr="000D3B6E">
              <w:rPr>
                <w:b/>
              </w:rPr>
              <w:t>Ensuring compliance</w:t>
            </w:r>
          </w:p>
        </w:tc>
      </w:tr>
      <w:tr w:rsidR="00983AE6" w:rsidRPr="00983AE6" w14:paraId="672D816D"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25A7E0E3" w14:textId="77777777" w:rsidR="00983AE6" w:rsidRPr="00EB4CE2" w:rsidRDefault="00983AE6" w:rsidP="005F300B">
            <w:pPr>
              <w:spacing w:after="144"/>
              <w:rPr>
                <w:rFonts w:cstheme="minorHAnsi"/>
                <w:b w:val="0"/>
              </w:rPr>
            </w:pPr>
            <w:r w:rsidRPr="00EB4CE2">
              <w:rPr>
                <w:rFonts w:cstheme="minorHAnsi"/>
                <w:b w:val="0"/>
              </w:rPr>
              <w:t>Provider fails to comply with a compliance notice given by the Secretary.</w:t>
            </w:r>
          </w:p>
          <w:p w14:paraId="346B1C83"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0C31A256"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 xml:space="preserve">s43(4) </w:t>
            </w:r>
          </w:p>
        </w:tc>
      </w:tr>
      <w:tr w:rsidR="00983AE6" w:rsidRPr="00983AE6" w14:paraId="1DE2F834"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57CB17AD" w14:textId="77777777" w:rsidR="00983AE6" w:rsidRPr="00EB4CE2" w:rsidRDefault="00983AE6" w:rsidP="005F300B">
            <w:pPr>
              <w:spacing w:after="144"/>
              <w:rPr>
                <w:rFonts w:cstheme="minorHAnsi"/>
                <w:b w:val="0"/>
              </w:rPr>
            </w:pPr>
            <w:r w:rsidRPr="00EB4CE2">
              <w:rPr>
                <w:rFonts w:cstheme="minorHAnsi"/>
                <w:b w:val="0"/>
              </w:rPr>
              <w:t>Failure of a person [broader than provider] to cooperate fully with an auditor in relation to a compliance audit</w:t>
            </w:r>
          </w:p>
          <w:p w14:paraId="255822F6"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41420C69"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s45(5)</w:t>
            </w:r>
          </w:p>
        </w:tc>
      </w:tr>
      <w:tr w:rsidR="00983AE6" w:rsidRPr="00983AE6" w14:paraId="599E150F"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2758B77D" w14:textId="77777777" w:rsidR="00983AE6" w:rsidRPr="00EB4CE2" w:rsidRDefault="00983AE6" w:rsidP="005F300B">
            <w:pPr>
              <w:spacing w:after="144"/>
              <w:rPr>
                <w:rFonts w:cstheme="minorHAnsi"/>
                <w:b w:val="0"/>
              </w:rPr>
            </w:pPr>
            <w:r w:rsidRPr="00EB4CE2">
              <w:rPr>
                <w:rFonts w:cstheme="minorHAnsi"/>
                <w:b w:val="0"/>
              </w:rPr>
              <w:t>Provider fails to cooperate fully with a listed body including a VET Regulator, the Secretary, an employee of the Department or consultant engaged by the Commonwealth, the operator of an approved external dispute resolution scheme of which the provider is a member in ensuring compliance with, and the efficient and effective administration of the Act.</w:t>
            </w:r>
          </w:p>
          <w:p w14:paraId="1183ECA9" w14:textId="77777777" w:rsidR="00983AE6" w:rsidRPr="00983AE6" w:rsidRDefault="00983AE6" w:rsidP="005F300B">
            <w:pPr>
              <w:spacing w:after="144"/>
              <w:rPr>
                <w:rFonts w:cstheme="minorHAnsi"/>
                <w:b w:val="0"/>
              </w:rPr>
            </w:pPr>
            <w:r w:rsidRPr="00983AE6">
              <w:rPr>
                <w:rFonts w:cstheme="minorHAnsi"/>
              </w:rPr>
              <w:t>60 penalty units</w:t>
            </w:r>
          </w:p>
        </w:tc>
        <w:tc>
          <w:tcPr>
            <w:tcW w:w="992" w:type="dxa"/>
          </w:tcPr>
          <w:p w14:paraId="0D1AD65B"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s46</w:t>
            </w:r>
          </w:p>
        </w:tc>
      </w:tr>
      <w:tr w:rsidR="00983AE6" w:rsidRPr="00983AE6" w14:paraId="6B3FB6AC"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209ABC8A" w14:textId="77777777" w:rsidR="00983AE6" w:rsidRPr="000D3B6E" w:rsidRDefault="00983AE6" w:rsidP="005F300B">
            <w:pPr>
              <w:pStyle w:val="tablesubheading"/>
              <w:rPr>
                <w:b/>
              </w:rPr>
            </w:pPr>
            <w:r w:rsidRPr="000D3B6E">
              <w:rPr>
                <w:b/>
              </w:rPr>
              <w:t>General requirements</w:t>
            </w:r>
          </w:p>
        </w:tc>
      </w:tr>
      <w:tr w:rsidR="00983AE6" w:rsidRPr="00983AE6" w14:paraId="7FF70498"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064FDBB3" w14:textId="77777777" w:rsidR="00983AE6" w:rsidRPr="00EB4CE2" w:rsidRDefault="00983AE6" w:rsidP="005F300B">
            <w:pPr>
              <w:spacing w:after="144"/>
              <w:rPr>
                <w:rFonts w:cstheme="minorHAnsi"/>
                <w:b w:val="0"/>
              </w:rPr>
            </w:pPr>
            <w:r w:rsidRPr="00EB4CE2">
              <w:rPr>
                <w:rFonts w:cstheme="minorHAnsi"/>
                <w:b w:val="0"/>
              </w:rPr>
              <w:t>Provider fails to comply with the Rules made under section 48 of the Act (that is. Division 1, Part 7 of the Rules) in respect of having specified processes and procedures in place.</w:t>
            </w:r>
          </w:p>
          <w:p w14:paraId="40AC1534"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24B6480E"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s48(5)</w:t>
            </w:r>
          </w:p>
        </w:tc>
      </w:tr>
      <w:tr w:rsidR="00B62D93" w:rsidRPr="00B62D93" w14:paraId="4A1DC149" w14:textId="77777777" w:rsidTr="00B62D93">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B0F0"/>
          </w:tcPr>
          <w:p w14:paraId="39B0AE5C" w14:textId="758ECF66" w:rsidR="00B62D93" w:rsidRPr="00B62D93" w:rsidRDefault="009C72B4" w:rsidP="00B62D93">
            <w:pPr>
              <w:pStyle w:val="tablesubheading"/>
              <w:rPr>
                <w:b/>
              </w:rPr>
            </w:pPr>
            <w:r>
              <w:rPr>
                <w:b/>
              </w:rPr>
              <w:t>Brokers and Agents</w:t>
            </w:r>
          </w:p>
        </w:tc>
      </w:tr>
      <w:tr w:rsidR="00B62D93" w:rsidRPr="00983AE6" w14:paraId="1EFEBF3A" w14:textId="77777777" w:rsidTr="005D7211">
        <w:trPr>
          <w:cantSplit/>
          <w:trHeight w:val="1930"/>
        </w:trPr>
        <w:tc>
          <w:tcPr>
            <w:cnfStyle w:val="001000000000" w:firstRow="0" w:lastRow="0" w:firstColumn="1" w:lastColumn="0" w:oddVBand="0" w:evenVBand="0" w:oddHBand="0" w:evenHBand="0" w:firstRowFirstColumn="0" w:firstRowLastColumn="0" w:lastRowFirstColumn="0" w:lastRowLastColumn="0"/>
            <w:tcW w:w="8364" w:type="dxa"/>
          </w:tcPr>
          <w:p w14:paraId="7FEABAD8" w14:textId="77777777" w:rsidR="00A04573" w:rsidRPr="00A04573" w:rsidRDefault="00A04573" w:rsidP="00A04573">
            <w:pPr>
              <w:spacing w:after="144"/>
              <w:rPr>
                <w:rFonts w:cstheme="minorHAnsi"/>
                <w:b w:val="0"/>
              </w:rPr>
            </w:pPr>
            <w:r w:rsidRPr="00A04573">
              <w:rPr>
                <w:rFonts w:cstheme="minorHAnsi"/>
                <w:b w:val="0"/>
              </w:rPr>
              <w:t>Provider must not enter into an arrangement which provides for another person to enrol students or accept applications for enrolment, provide information or advice in relation to VET student loans, assist students to complete applications or assist students to complete any assessments required to show academic suitability.</w:t>
            </w:r>
          </w:p>
          <w:p w14:paraId="7B57AE96" w14:textId="666738BF" w:rsidR="005D7211" w:rsidRPr="005D7211" w:rsidRDefault="002F3229" w:rsidP="00AA69E7">
            <w:pPr>
              <w:spacing w:after="144"/>
              <w:rPr>
                <w:rFonts w:cstheme="minorHAnsi"/>
                <w:highlight w:val="yellow"/>
              </w:rPr>
            </w:pPr>
            <w:r>
              <w:rPr>
                <w:rFonts w:cstheme="minorHAnsi"/>
              </w:rPr>
              <w:t>60</w:t>
            </w:r>
            <w:r w:rsidR="005D7211" w:rsidRPr="005D7211">
              <w:rPr>
                <w:rFonts w:cstheme="minorHAnsi"/>
              </w:rPr>
              <w:t xml:space="preserve"> penalty units</w:t>
            </w:r>
          </w:p>
        </w:tc>
        <w:tc>
          <w:tcPr>
            <w:tcW w:w="992" w:type="dxa"/>
          </w:tcPr>
          <w:p w14:paraId="6DD1A6F4" w14:textId="20BFF5A0" w:rsidR="00B62D93" w:rsidRPr="00B62D93" w:rsidRDefault="009C72B4" w:rsidP="005F300B">
            <w:pPr>
              <w:spacing w:after="0"/>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9C72B4">
              <w:rPr>
                <w:rFonts w:cstheme="minorHAnsi"/>
              </w:rPr>
              <w:t>s</w:t>
            </w:r>
            <w:r w:rsidR="00A04573">
              <w:rPr>
                <w:rFonts w:cstheme="minorHAnsi"/>
              </w:rPr>
              <w:t>s</w:t>
            </w:r>
            <w:r w:rsidR="00B62D93" w:rsidRPr="009C72B4">
              <w:rPr>
                <w:rFonts w:cstheme="minorHAnsi"/>
              </w:rPr>
              <w:t>49</w:t>
            </w:r>
            <w:r w:rsidR="00A04573">
              <w:rPr>
                <w:rFonts w:cstheme="minorHAnsi"/>
              </w:rPr>
              <w:t>(1)</w:t>
            </w:r>
          </w:p>
        </w:tc>
      </w:tr>
      <w:tr w:rsidR="00983AE6" w:rsidRPr="00983AE6" w14:paraId="1795668B"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42782E4F" w14:textId="6A7BBC98" w:rsidR="00983AE6" w:rsidRPr="000D3B6E" w:rsidRDefault="00983AE6" w:rsidP="005F300B">
            <w:pPr>
              <w:pStyle w:val="tablesubheading"/>
              <w:rPr>
                <w:b/>
              </w:rPr>
            </w:pPr>
            <w:r w:rsidRPr="000D3B6E">
              <w:rPr>
                <w:b/>
              </w:rPr>
              <w:lastRenderedPageBreak/>
              <w:t>Information</w:t>
            </w:r>
          </w:p>
        </w:tc>
      </w:tr>
      <w:tr w:rsidR="00983AE6" w:rsidRPr="00983AE6" w14:paraId="03CE8B5E"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598B8DCE" w14:textId="77777777" w:rsidR="00983AE6" w:rsidRPr="000D3B6E" w:rsidRDefault="00983AE6" w:rsidP="005F300B">
            <w:pPr>
              <w:spacing w:after="144"/>
              <w:rPr>
                <w:rFonts w:cstheme="minorHAnsi"/>
                <w:b w:val="0"/>
              </w:rPr>
            </w:pPr>
            <w:r w:rsidRPr="000D3B6E">
              <w:rPr>
                <w:rFonts w:cstheme="minorHAnsi"/>
                <w:b w:val="0"/>
              </w:rPr>
              <w:t>Provider fails to comply with the Rules made under subsection 50(1) (that is, Division 3, Part 7 of the Rules) in respect of provision of particular information to students.</w:t>
            </w:r>
          </w:p>
          <w:p w14:paraId="59CBF139"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7FF20C4B"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s50(2)</w:t>
            </w:r>
          </w:p>
        </w:tc>
      </w:tr>
      <w:tr w:rsidR="00983AE6" w:rsidRPr="00983AE6" w14:paraId="30CB016B"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25C53AD7" w14:textId="77777777" w:rsidR="00983AE6" w:rsidRPr="000D3B6E" w:rsidRDefault="00983AE6" w:rsidP="005F300B">
            <w:pPr>
              <w:spacing w:after="144"/>
              <w:rPr>
                <w:rFonts w:cstheme="minorHAnsi"/>
                <w:b w:val="0"/>
              </w:rPr>
            </w:pPr>
            <w:r w:rsidRPr="000D3B6E">
              <w:rPr>
                <w:rFonts w:cstheme="minorHAnsi"/>
                <w:b w:val="0"/>
                <w:i/>
              </w:rPr>
              <w:t>Strict liability Offence:</w:t>
            </w:r>
            <w:r w:rsidRPr="000D3B6E">
              <w:rPr>
                <w:rFonts w:cstheme="minorHAnsi"/>
                <w:b w:val="0"/>
              </w:rPr>
              <w:t xml:space="preserve"> Provider fails to comply with the Rules made under subsection 50(1) (that is, Division 3, Part 7 of the Rules) in respect of provision of particular information to students.</w:t>
            </w:r>
          </w:p>
          <w:p w14:paraId="1A6F0B98"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311C969E"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s50(3)</w:t>
            </w:r>
          </w:p>
        </w:tc>
      </w:tr>
      <w:tr w:rsidR="00983AE6" w:rsidRPr="00983AE6" w14:paraId="5149F86C"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77022D6D" w14:textId="77777777" w:rsidR="00983AE6" w:rsidRPr="000D3B6E" w:rsidRDefault="00983AE6" w:rsidP="005F300B">
            <w:pPr>
              <w:spacing w:after="144"/>
              <w:rPr>
                <w:rFonts w:cstheme="minorHAnsi"/>
                <w:b w:val="0"/>
              </w:rPr>
            </w:pPr>
            <w:r w:rsidRPr="000D3B6E">
              <w:rPr>
                <w:rFonts w:cstheme="minorHAnsi"/>
                <w:b w:val="0"/>
              </w:rPr>
              <w:t>Provider fails to retain documents and information in accordance with section 51, including as specified in Division 4, Part 7 of the Rules (made under section 51).</w:t>
            </w:r>
          </w:p>
          <w:p w14:paraId="29959A59"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6B4F0399"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s51(3)</w:t>
            </w:r>
          </w:p>
        </w:tc>
      </w:tr>
      <w:tr w:rsidR="00983AE6" w:rsidRPr="00983AE6" w14:paraId="5C3CE651"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1DCC1A2F" w14:textId="77777777" w:rsidR="00983AE6" w:rsidRPr="000D3B6E" w:rsidRDefault="00983AE6" w:rsidP="005F300B">
            <w:pPr>
              <w:spacing w:after="144"/>
              <w:rPr>
                <w:rFonts w:cstheme="minorHAnsi"/>
                <w:b w:val="0"/>
              </w:rPr>
            </w:pPr>
            <w:r w:rsidRPr="000D3B6E">
              <w:rPr>
                <w:rFonts w:cstheme="minorHAnsi"/>
                <w:b w:val="0"/>
                <w:i/>
              </w:rPr>
              <w:t>Strict liability offence:</w:t>
            </w:r>
            <w:r w:rsidRPr="000D3B6E">
              <w:rPr>
                <w:rFonts w:cstheme="minorHAnsi"/>
                <w:b w:val="0"/>
              </w:rPr>
              <w:t xml:space="preserve"> Provider fails to retain documents and information in accordance with section 51, including as specified in Division 4, Part 7 of the Rules (made under section 51).</w:t>
            </w:r>
          </w:p>
          <w:p w14:paraId="3A153379"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5A647DD9"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s51(4)</w:t>
            </w:r>
          </w:p>
        </w:tc>
      </w:tr>
      <w:tr w:rsidR="00983AE6" w:rsidRPr="00983AE6" w14:paraId="64C19C09"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275C8E44" w14:textId="77777777" w:rsidR="00983AE6" w:rsidRPr="000D3B6E" w:rsidRDefault="00983AE6" w:rsidP="005F300B">
            <w:pPr>
              <w:spacing w:after="144"/>
              <w:rPr>
                <w:rFonts w:cstheme="minorHAnsi"/>
                <w:b w:val="0"/>
              </w:rPr>
            </w:pPr>
            <w:r w:rsidRPr="000D3B6E">
              <w:rPr>
                <w:rFonts w:cstheme="minorHAnsi"/>
                <w:b w:val="0"/>
              </w:rPr>
              <w:t>Provider fails to comply with the ongoing information requirements including as set out in Division 5, Part 7 of the Rules (made under section 52).</w:t>
            </w:r>
          </w:p>
          <w:p w14:paraId="24CA7C34" w14:textId="77777777" w:rsidR="00983AE6" w:rsidRPr="00983AE6" w:rsidRDefault="00983AE6" w:rsidP="005F300B">
            <w:pPr>
              <w:spacing w:after="144"/>
              <w:rPr>
                <w:rFonts w:cstheme="minorHAnsi"/>
              </w:rPr>
            </w:pPr>
            <w:r w:rsidRPr="00983AE6">
              <w:rPr>
                <w:rFonts w:cstheme="minorHAnsi"/>
              </w:rPr>
              <w:t xml:space="preserve">60 penalty units </w:t>
            </w:r>
          </w:p>
        </w:tc>
        <w:tc>
          <w:tcPr>
            <w:tcW w:w="992" w:type="dxa"/>
          </w:tcPr>
          <w:p w14:paraId="070BA4E5"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s52(4)</w:t>
            </w:r>
          </w:p>
        </w:tc>
      </w:tr>
      <w:tr w:rsidR="00983AE6" w:rsidRPr="00983AE6" w14:paraId="63FA5AA6"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728C03F8" w14:textId="77777777" w:rsidR="00983AE6" w:rsidRPr="000D3B6E" w:rsidRDefault="00983AE6" w:rsidP="005F300B">
            <w:pPr>
              <w:spacing w:after="144"/>
              <w:rPr>
                <w:rFonts w:cstheme="minorHAnsi"/>
                <w:b w:val="0"/>
              </w:rPr>
            </w:pPr>
            <w:r w:rsidRPr="000D3B6E">
              <w:rPr>
                <w:rFonts w:cstheme="minorHAnsi"/>
                <w:b w:val="0"/>
                <w:i/>
              </w:rPr>
              <w:t>Strict liability offence</w:t>
            </w:r>
            <w:r w:rsidRPr="000D3B6E">
              <w:rPr>
                <w:rFonts w:cstheme="minorHAnsi"/>
                <w:b w:val="0"/>
              </w:rPr>
              <w:t>: Provider fails to comply with the ongoing information requirements including as set out in Division 5, Part 7 of the Rules (made under section 52).</w:t>
            </w:r>
          </w:p>
          <w:p w14:paraId="00814738" w14:textId="77777777" w:rsidR="00983AE6" w:rsidRPr="00983AE6" w:rsidRDefault="00983AE6" w:rsidP="005F300B">
            <w:pPr>
              <w:spacing w:after="144"/>
              <w:rPr>
                <w:rFonts w:cstheme="minorHAnsi"/>
                <w:i/>
              </w:rPr>
            </w:pPr>
            <w:r w:rsidRPr="00983AE6">
              <w:rPr>
                <w:rFonts w:cstheme="minorHAnsi"/>
              </w:rPr>
              <w:t>60 penalty units</w:t>
            </w:r>
          </w:p>
        </w:tc>
        <w:tc>
          <w:tcPr>
            <w:tcW w:w="992" w:type="dxa"/>
          </w:tcPr>
          <w:p w14:paraId="7A95E836"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s52(5)</w:t>
            </w:r>
          </w:p>
        </w:tc>
      </w:tr>
      <w:tr w:rsidR="00983AE6" w:rsidRPr="00983AE6" w14:paraId="421839E9"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1674816D" w14:textId="77777777" w:rsidR="00983AE6" w:rsidRPr="000D3B6E" w:rsidRDefault="00983AE6" w:rsidP="005F300B">
            <w:pPr>
              <w:spacing w:after="144"/>
              <w:rPr>
                <w:rFonts w:cstheme="minorHAnsi"/>
                <w:b w:val="0"/>
              </w:rPr>
            </w:pPr>
            <w:r w:rsidRPr="000D3B6E">
              <w:rPr>
                <w:rFonts w:cstheme="minorHAnsi"/>
                <w:b w:val="0"/>
              </w:rPr>
              <w:t>Provider fails to comply with a notice given under subsection 53(1) to provide information or documents to the Secretary.</w:t>
            </w:r>
          </w:p>
          <w:p w14:paraId="0E95F463"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29CD3FE0"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s53(4)</w:t>
            </w:r>
          </w:p>
        </w:tc>
      </w:tr>
      <w:tr w:rsidR="00983AE6" w:rsidRPr="00983AE6" w14:paraId="63C04D9A"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367268B3" w14:textId="77777777" w:rsidR="00983AE6" w:rsidRPr="000D3B6E" w:rsidRDefault="00983AE6" w:rsidP="005F300B">
            <w:pPr>
              <w:spacing w:after="144"/>
              <w:rPr>
                <w:rFonts w:cstheme="minorHAnsi"/>
                <w:b w:val="0"/>
              </w:rPr>
            </w:pPr>
            <w:r w:rsidRPr="000D3B6E">
              <w:rPr>
                <w:rFonts w:cstheme="minorHAnsi"/>
                <w:b w:val="0"/>
                <w:i/>
              </w:rPr>
              <w:t>Strict liability offence:</w:t>
            </w:r>
            <w:r w:rsidRPr="000D3B6E">
              <w:rPr>
                <w:rFonts w:cstheme="minorHAnsi"/>
                <w:b w:val="0"/>
              </w:rPr>
              <w:t xml:space="preserve"> Provider fails to comply with a notice given under subsection 53(1) to provide information or documents to the Secretary.</w:t>
            </w:r>
          </w:p>
          <w:p w14:paraId="5E2778B0" w14:textId="77777777" w:rsidR="00983AE6" w:rsidRPr="00983AE6" w:rsidRDefault="00983AE6" w:rsidP="005F300B">
            <w:pPr>
              <w:spacing w:after="144"/>
              <w:rPr>
                <w:rFonts w:cstheme="minorHAnsi"/>
                <w:b w:val="0"/>
                <w:i/>
              </w:rPr>
            </w:pPr>
            <w:r w:rsidRPr="00983AE6">
              <w:rPr>
                <w:rFonts w:cstheme="minorHAnsi"/>
              </w:rPr>
              <w:t>60 penalty units</w:t>
            </w:r>
          </w:p>
        </w:tc>
        <w:tc>
          <w:tcPr>
            <w:tcW w:w="992" w:type="dxa"/>
          </w:tcPr>
          <w:p w14:paraId="2B4DD3BA"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s53(5)</w:t>
            </w:r>
          </w:p>
        </w:tc>
      </w:tr>
      <w:tr w:rsidR="00983AE6" w:rsidRPr="00983AE6" w14:paraId="0B5AF1C3" w14:textId="77777777" w:rsidTr="00983AE6">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636DEE46" w14:textId="77777777" w:rsidR="00983AE6" w:rsidRPr="000D3B6E" w:rsidRDefault="00983AE6" w:rsidP="00983AE6">
            <w:pPr>
              <w:pStyle w:val="tablesubheading"/>
              <w:rPr>
                <w:b/>
              </w:rPr>
            </w:pPr>
            <w:r w:rsidRPr="000D3B6E">
              <w:rPr>
                <w:b/>
              </w:rPr>
              <w:t>Fees</w:t>
            </w:r>
          </w:p>
        </w:tc>
      </w:tr>
      <w:tr w:rsidR="00983AE6" w:rsidRPr="00983AE6" w14:paraId="4D265BBB"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3AF982C2" w14:textId="77777777" w:rsidR="00983AE6" w:rsidRPr="000D3B6E" w:rsidRDefault="00983AE6" w:rsidP="005F300B">
            <w:pPr>
              <w:spacing w:after="144"/>
              <w:rPr>
                <w:rFonts w:cstheme="minorHAnsi"/>
                <w:b w:val="0"/>
              </w:rPr>
            </w:pPr>
            <w:r w:rsidRPr="000D3B6E">
              <w:rPr>
                <w:rFonts w:cstheme="minorHAnsi"/>
                <w:b w:val="0"/>
              </w:rPr>
              <w:t>Provider fails to comply with requirements under the Rules in relation to determining tuition fees for approved courses (that is with Division 6, Part 7 of the Rules).</w:t>
            </w:r>
          </w:p>
          <w:p w14:paraId="111A19CE" w14:textId="77777777" w:rsidR="00983AE6" w:rsidRPr="00983AE6" w:rsidRDefault="00983AE6" w:rsidP="005F300B">
            <w:pPr>
              <w:spacing w:after="144"/>
              <w:rPr>
                <w:rFonts w:cstheme="minorHAnsi"/>
              </w:rPr>
            </w:pPr>
            <w:r w:rsidRPr="00983AE6">
              <w:rPr>
                <w:rFonts w:cstheme="minorHAnsi"/>
              </w:rPr>
              <w:t>120 penalty units</w:t>
            </w:r>
          </w:p>
        </w:tc>
        <w:tc>
          <w:tcPr>
            <w:tcW w:w="992" w:type="dxa"/>
          </w:tcPr>
          <w:p w14:paraId="315CB8B2"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s55(3)</w:t>
            </w:r>
          </w:p>
        </w:tc>
      </w:tr>
      <w:tr w:rsidR="00983AE6" w:rsidRPr="00983AE6" w14:paraId="400E3C5D"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5399F152" w14:textId="77777777" w:rsidR="00983AE6" w:rsidRPr="000D3B6E" w:rsidRDefault="00983AE6" w:rsidP="005F300B">
            <w:pPr>
              <w:spacing w:after="144"/>
              <w:rPr>
                <w:rFonts w:cstheme="minorHAnsi"/>
                <w:b w:val="0"/>
              </w:rPr>
            </w:pPr>
            <w:r w:rsidRPr="000D3B6E">
              <w:rPr>
                <w:rFonts w:cstheme="minorHAnsi"/>
                <w:b w:val="0"/>
              </w:rPr>
              <w:t>Provider requires a student to pay fees that are covered by a VET student loan (covered fees) (where enrolment is accepted on the basis that some or all tuition fees are ‘covered fees’).</w:t>
            </w:r>
          </w:p>
          <w:p w14:paraId="53CBAF34" w14:textId="77777777" w:rsidR="00983AE6" w:rsidRPr="00983AE6" w:rsidRDefault="00983AE6" w:rsidP="005F300B">
            <w:pPr>
              <w:spacing w:after="144"/>
              <w:rPr>
                <w:rFonts w:cstheme="minorHAnsi"/>
              </w:rPr>
            </w:pPr>
            <w:r w:rsidRPr="00983AE6">
              <w:rPr>
                <w:rFonts w:cstheme="minorHAnsi"/>
              </w:rPr>
              <w:t>120 penalty units</w:t>
            </w:r>
          </w:p>
        </w:tc>
        <w:tc>
          <w:tcPr>
            <w:tcW w:w="992" w:type="dxa"/>
          </w:tcPr>
          <w:p w14:paraId="480D449E"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s56(4)</w:t>
            </w:r>
          </w:p>
        </w:tc>
      </w:tr>
      <w:tr w:rsidR="00983AE6" w:rsidRPr="00983AE6" w14:paraId="4754D51C"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7D2E82E4" w14:textId="77777777" w:rsidR="00983AE6" w:rsidRPr="000D3B6E" w:rsidRDefault="00983AE6" w:rsidP="005F300B">
            <w:pPr>
              <w:spacing w:after="144"/>
              <w:rPr>
                <w:rFonts w:cstheme="minorHAnsi"/>
                <w:b w:val="0"/>
              </w:rPr>
            </w:pPr>
            <w:r w:rsidRPr="000D3B6E">
              <w:rPr>
                <w:rFonts w:cstheme="minorHAnsi"/>
                <w:b w:val="0"/>
              </w:rPr>
              <w:t>Provider does not have publicly and readily available on its website (that is, has not published) the tuition fees for a course by the day before the enrolment of a student in an approved course where enrolment is accepted on the basis that some or all tuition fees are ‘covered fees’.</w:t>
            </w:r>
          </w:p>
          <w:p w14:paraId="7C604D20"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157BBED6"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s57</w:t>
            </w:r>
          </w:p>
        </w:tc>
      </w:tr>
      <w:tr w:rsidR="00983AE6" w:rsidRPr="00983AE6" w14:paraId="04870D6A"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1C8063F2" w14:textId="77777777" w:rsidR="00983AE6" w:rsidRPr="000D3B6E" w:rsidRDefault="00983AE6" w:rsidP="005F300B">
            <w:pPr>
              <w:pStyle w:val="tablesubheading"/>
              <w:rPr>
                <w:b/>
              </w:rPr>
            </w:pPr>
            <w:r w:rsidRPr="000D3B6E">
              <w:rPr>
                <w:b/>
              </w:rPr>
              <w:lastRenderedPageBreak/>
              <w:t>Census days</w:t>
            </w:r>
          </w:p>
        </w:tc>
      </w:tr>
      <w:tr w:rsidR="00983AE6" w:rsidRPr="00983AE6" w14:paraId="3303751B"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4C1A4E75" w14:textId="77777777" w:rsidR="00983AE6" w:rsidRPr="000D3B6E" w:rsidRDefault="00983AE6" w:rsidP="005F300B">
            <w:pPr>
              <w:spacing w:after="144"/>
              <w:rPr>
                <w:rFonts w:cstheme="minorHAnsi"/>
                <w:b w:val="0"/>
              </w:rPr>
            </w:pPr>
            <w:r w:rsidRPr="000D3B6E">
              <w:rPr>
                <w:rFonts w:cstheme="minorHAnsi"/>
                <w:b w:val="0"/>
              </w:rPr>
              <w:t>Provider fails to determine or publish a ‘census day’ for a course in accordance with the Rules (that is Division 7, Part 7 of the Rules).</w:t>
            </w:r>
          </w:p>
          <w:p w14:paraId="2840CC20" w14:textId="77777777" w:rsidR="00983AE6" w:rsidRPr="00983AE6" w:rsidRDefault="00983AE6" w:rsidP="005F300B">
            <w:pPr>
              <w:spacing w:after="144"/>
              <w:rPr>
                <w:rFonts w:cstheme="minorHAnsi"/>
              </w:rPr>
            </w:pPr>
            <w:r w:rsidRPr="00983AE6">
              <w:rPr>
                <w:rFonts w:cstheme="minorHAnsi"/>
              </w:rPr>
              <w:t xml:space="preserve">60 penalty units </w:t>
            </w:r>
          </w:p>
        </w:tc>
        <w:tc>
          <w:tcPr>
            <w:tcW w:w="992" w:type="dxa"/>
          </w:tcPr>
          <w:p w14:paraId="58E3B77F"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s58(6)</w:t>
            </w:r>
          </w:p>
        </w:tc>
      </w:tr>
      <w:tr w:rsidR="00983AE6" w:rsidRPr="00983AE6" w14:paraId="030AB19F"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26B04ADA" w14:textId="77777777" w:rsidR="00983AE6" w:rsidRPr="000D3B6E" w:rsidRDefault="00983AE6" w:rsidP="005F300B">
            <w:pPr>
              <w:spacing w:after="144"/>
              <w:rPr>
                <w:rFonts w:cstheme="minorHAnsi"/>
                <w:b w:val="0"/>
              </w:rPr>
            </w:pPr>
            <w:r w:rsidRPr="000D3B6E">
              <w:rPr>
                <w:rFonts w:cstheme="minorHAnsi"/>
                <w:b w:val="0"/>
              </w:rPr>
              <w:t>Provider varies a ‘census day’ not in accordance with the Rules (that is Division 7, Part 7 of the Rules).</w:t>
            </w:r>
          </w:p>
          <w:p w14:paraId="54344FF5" w14:textId="77777777" w:rsidR="00983AE6" w:rsidRPr="00983AE6" w:rsidRDefault="00983AE6" w:rsidP="005F300B">
            <w:pPr>
              <w:spacing w:after="144"/>
              <w:rPr>
                <w:rFonts w:cstheme="minorHAnsi"/>
              </w:rPr>
            </w:pPr>
            <w:r w:rsidRPr="00983AE6">
              <w:rPr>
                <w:rFonts w:cstheme="minorHAnsi"/>
              </w:rPr>
              <w:t xml:space="preserve">60 penalty units </w:t>
            </w:r>
          </w:p>
        </w:tc>
        <w:tc>
          <w:tcPr>
            <w:tcW w:w="992" w:type="dxa"/>
          </w:tcPr>
          <w:p w14:paraId="75EC3DC5"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s58(7)</w:t>
            </w:r>
          </w:p>
        </w:tc>
      </w:tr>
      <w:tr w:rsidR="00983AE6" w:rsidRPr="00983AE6" w14:paraId="1E1D010E"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4C4CC866" w14:textId="77777777" w:rsidR="00983AE6" w:rsidRPr="000D3B6E" w:rsidRDefault="00983AE6" w:rsidP="005F300B">
            <w:pPr>
              <w:spacing w:after="144"/>
              <w:rPr>
                <w:rFonts w:cstheme="minorHAnsi"/>
                <w:b w:val="0"/>
              </w:rPr>
            </w:pPr>
            <w:r w:rsidRPr="000D3B6E">
              <w:rPr>
                <w:rFonts w:cstheme="minorHAnsi"/>
                <w:b w:val="0"/>
              </w:rPr>
              <w:t>Provider fails to cancel the enrolment of a student before the end of the census day where the provider has been requested to do so in writing by the student on or before the census day.</w:t>
            </w:r>
          </w:p>
          <w:p w14:paraId="38B0CE45" w14:textId="77777777" w:rsidR="00983AE6" w:rsidRPr="00983AE6" w:rsidRDefault="00983AE6" w:rsidP="005F300B">
            <w:pPr>
              <w:spacing w:after="144"/>
              <w:rPr>
                <w:rFonts w:cstheme="minorHAnsi"/>
              </w:rPr>
            </w:pPr>
            <w:r w:rsidRPr="00983AE6">
              <w:rPr>
                <w:rFonts w:cstheme="minorHAnsi"/>
              </w:rPr>
              <w:t>120 penalty units</w:t>
            </w:r>
          </w:p>
        </w:tc>
        <w:tc>
          <w:tcPr>
            <w:tcW w:w="992" w:type="dxa"/>
          </w:tcPr>
          <w:p w14:paraId="71E5F60B"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s59(1)</w:t>
            </w:r>
          </w:p>
        </w:tc>
      </w:tr>
      <w:tr w:rsidR="00983AE6" w:rsidRPr="00983AE6" w14:paraId="377E3C1E"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59BE2FB4" w14:textId="77777777" w:rsidR="00983AE6" w:rsidRPr="000D3B6E" w:rsidRDefault="00983AE6" w:rsidP="005F300B">
            <w:pPr>
              <w:spacing w:after="144"/>
              <w:rPr>
                <w:rFonts w:cstheme="minorHAnsi"/>
                <w:b w:val="0"/>
              </w:rPr>
            </w:pPr>
            <w:r w:rsidRPr="000D3B6E">
              <w:rPr>
                <w:rFonts w:cstheme="minorHAnsi"/>
                <w:b w:val="0"/>
              </w:rPr>
              <w:t>Provider charges a fee to cancel the enrolment of a student where the provider has been requested to cancel enrolment in writing by the student on or before the end of the relevant census day.</w:t>
            </w:r>
          </w:p>
          <w:p w14:paraId="70390061" w14:textId="77777777" w:rsidR="00983AE6" w:rsidRPr="00983AE6" w:rsidRDefault="00983AE6" w:rsidP="005F300B">
            <w:pPr>
              <w:spacing w:after="144"/>
              <w:rPr>
                <w:rFonts w:cstheme="minorHAnsi"/>
              </w:rPr>
            </w:pPr>
            <w:r w:rsidRPr="00983AE6">
              <w:rPr>
                <w:rFonts w:cstheme="minorHAnsi"/>
              </w:rPr>
              <w:t>120 penalty units</w:t>
            </w:r>
          </w:p>
        </w:tc>
        <w:tc>
          <w:tcPr>
            <w:tcW w:w="992" w:type="dxa"/>
          </w:tcPr>
          <w:p w14:paraId="55D069F8"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s59(2)</w:t>
            </w:r>
          </w:p>
        </w:tc>
      </w:tr>
      <w:tr w:rsidR="00983AE6" w:rsidRPr="00983AE6" w14:paraId="4F034CC8"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00D50965" w14:textId="77777777" w:rsidR="00983AE6" w:rsidRPr="000D3B6E" w:rsidRDefault="00983AE6" w:rsidP="005F300B">
            <w:pPr>
              <w:spacing w:after="144"/>
              <w:rPr>
                <w:rFonts w:cstheme="minorHAnsi"/>
                <w:b w:val="0"/>
              </w:rPr>
            </w:pPr>
            <w:r w:rsidRPr="000D3B6E">
              <w:rPr>
                <w:rFonts w:cstheme="minorHAnsi"/>
                <w:b w:val="0"/>
              </w:rPr>
              <w:t>The provider engages in conduct that prevents, or unnecessarily inconveniences, the student from cancelling their enrolment.</w:t>
            </w:r>
          </w:p>
          <w:p w14:paraId="07D6078A" w14:textId="77777777" w:rsidR="00983AE6" w:rsidRPr="00983AE6" w:rsidRDefault="00983AE6" w:rsidP="005F300B">
            <w:pPr>
              <w:spacing w:after="144"/>
              <w:rPr>
                <w:rFonts w:cstheme="minorHAnsi"/>
              </w:rPr>
            </w:pPr>
            <w:r w:rsidRPr="00983AE6">
              <w:rPr>
                <w:rFonts w:cstheme="minorHAnsi"/>
              </w:rPr>
              <w:t>120 penalty units</w:t>
            </w:r>
          </w:p>
        </w:tc>
        <w:tc>
          <w:tcPr>
            <w:tcW w:w="992" w:type="dxa"/>
          </w:tcPr>
          <w:p w14:paraId="38EBF42E"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s59(3)</w:t>
            </w:r>
          </w:p>
        </w:tc>
      </w:tr>
      <w:tr w:rsidR="00983AE6" w:rsidRPr="00983AE6" w14:paraId="048C4D48"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4CA58280" w14:textId="77777777" w:rsidR="00983AE6" w:rsidRPr="00B337F5" w:rsidRDefault="00983AE6" w:rsidP="005F300B">
            <w:pPr>
              <w:pStyle w:val="tablesubheading"/>
              <w:rPr>
                <w:b/>
              </w:rPr>
            </w:pPr>
            <w:r w:rsidRPr="00B337F5">
              <w:rPr>
                <w:b/>
              </w:rPr>
              <w:t>Marketing</w:t>
            </w:r>
          </w:p>
        </w:tc>
      </w:tr>
      <w:tr w:rsidR="00983AE6" w:rsidRPr="00983AE6" w14:paraId="2BA24C9A"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157D8266" w14:textId="77777777" w:rsidR="00983AE6" w:rsidRPr="000D3B6E" w:rsidRDefault="00983AE6" w:rsidP="005F300B">
            <w:pPr>
              <w:spacing w:after="144"/>
              <w:rPr>
                <w:rFonts w:cstheme="minorHAnsi"/>
                <w:b w:val="0"/>
              </w:rPr>
            </w:pPr>
            <w:r w:rsidRPr="000D3B6E">
              <w:rPr>
                <w:rFonts w:cstheme="minorHAnsi"/>
                <w:b w:val="0"/>
              </w:rPr>
              <w:t>Provider misrepresents that a VET student loan is not a loan or does not have to be repaid.</w:t>
            </w:r>
          </w:p>
          <w:p w14:paraId="0B004239" w14:textId="77777777" w:rsidR="00983AE6" w:rsidRPr="00983AE6" w:rsidRDefault="00983AE6" w:rsidP="005F300B">
            <w:pPr>
              <w:spacing w:after="144"/>
              <w:rPr>
                <w:rFonts w:cstheme="minorHAnsi"/>
              </w:rPr>
            </w:pPr>
            <w:r w:rsidRPr="00983AE6">
              <w:rPr>
                <w:rFonts w:cstheme="minorHAnsi"/>
              </w:rPr>
              <w:t>240 penalty units</w:t>
            </w:r>
          </w:p>
        </w:tc>
        <w:tc>
          <w:tcPr>
            <w:tcW w:w="992" w:type="dxa"/>
          </w:tcPr>
          <w:p w14:paraId="23F93CE8"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s60</w:t>
            </w:r>
          </w:p>
        </w:tc>
      </w:tr>
      <w:tr w:rsidR="00983AE6" w:rsidRPr="00983AE6" w14:paraId="2073F3A0"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0C616BE4" w14:textId="77777777" w:rsidR="00983AE6" w:rsidRPr="000D3B6E" w:rsidRDefault="00983AE6" w:rsidP="005F300B">
            <w:pPr>
              <w:spacing w:after="144"/>
              <w:rPr>
                <w:rFonts w:cstheme="minorHAnsi"/>
                <w:b w:val="0"/>
              </w:rPr>
            </w:pPr>
            <w:r w:rsidRPr="000D3B6E">
              <w:rPr>
                <w:rFonts w:cstheme="minorHAnsi"/>
                <w:b w:val="0"/>
              </w:rPr>
              <w:t>Provider offers or provides a benefit, or causes a benefit to be provided, that would reasonably likely induce a person to apply for a VET student loan for a course. (Note: does not apply in relation to a benefit specified in Subdivision A, Division 8, Part 7 of the Rules)</w:t>
            </w:r>
            <w:r w:rsidR="000D3B6E">
              <w:rPr>
                <w:rFonts w:cstheme="minorHAnsi"/>
                <w:b w:val="0"/>
              </w:rPr>
              <w:t>.</w:t>
            </w:r>
          </w:p>
          <w:p w14:paraId="1074C94C" w14:textId="77777777" w:rsidR="00983AE6" w:rsidRPr="00983AE6" w:rsidRDefault="00983AE6" w:rsidP="005F300B">
            <w:pPr>
              <w:spacing w:after="144"/>
              <w:rPr>
                <w:rFonts w:cstheme="minorHAnsi"/>
              </w:rPr>
            </w:pPr>
            <w:r w:rsidRPr="00983AE6">
              <w:rPr>
                <w:rFonts w:cstheme="minorHAnsi"/>
              </w:rPr>
              <w:t>120 penalty units</w:t>
            </w:r>
          </w:p>
        </w:tc>
        <w:tc>
          <w:tcPr>
            <w:tcW w:w="992" w:type="dxa"/>
          </w:tcPr>
          <w:p w14:paraId="6B5B1650"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s61(1)</w:t>
            </w:r>
          </w:p>
        </w:tc>
      </w:tr>
      <w:tr w:rsidR="00983AE6" w:rsidRPr="00983AE6" w14:paraId="12D34DC8"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shd w:val="clear" w:color="auto" w:fill="D9D9D9" w:themeFill="background1" w:themeFillShade="D9"/>
          </w:tcPr>
          <w:p w14:paraId="1B55FEA5" w14:textId="77777777" w:rsidR="00983AE6" w:rsidRPr="000D3B6E" w:rsidRDefault="00983AE6" w:rsidP="005F300B">
            <w:pPr>
              <w:spacing w:after="144"/>
              <w:rPr>
                <w:rFonts w:cstheme="minorHAnsi"/>
                <w:b w:val="0"/>
              </w:rPr>
            </w:pPr>
            <w:r w:rsidRPr="000D3B6E">
              <w:rPr>
                <w:rFonts w:cstheme="minorHAnsi"/>
                <w:b w:val="0"/>
              </w:rPr>
              <w:t>Provider cold-calls (that is, unsolicited contact in person, via telephone, email or other electronic means) another person to market, advertise or promote a course and in the course of doing so mentions the possible availability of a VET student loan.</w:t>
            </w:r>
          </w:p>
          <w:p w14:paraId="4D16B849"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7BA8B922"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s62(1)</w:t>
            </w:r>
          </w:p>
        </w:tc>
      </w:tr>
      <w:tr w:rsidR="00983AE6" w:rsidRPr="00983AE6" w14:paraId="6645E823"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4F5BB205" w14:textId="77777777" w:rsidR="00983AE6" w:rsidRPr="000D3B6E" w:rsidRDefault="00983AE6" w:rsidP="005F300B">
            <w:pPr>
              <w:spacing w:after="144"/>
              <w:rPr>
                <w:rFonts w:cstheme="minorHAnsi"/>
                <w:b w:val="0"/>
              </w:rPr>
            </w:pPr>
            <w:r w:rsidRPr="000D3B6E">
              <w:rPr>
                <w:rFonts w:cstheme="minorHAnsi"/>
                <w:b w:val="0"/>
              </w:rPr>
              <w:t xml:space="preserve">Provider uses third party contact lists to market, advertise or promote a course and in the course of doing so mentions the possible availability of a VET student loan. (Note: does not apply in relation to the circumstances specified in Subdivision B, Division 8, Part 7 of the Rules).  </w:t>
            </w:r>
          </w:p>
          <w:p w14:paraId="0BC944C8"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436073C3"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s63(1)</w:t>
            </w:r>
          </w:p>
        </w:tc>
      </w:tr>
      <w:tr w:rsidR="00983AE6" w:rsidRPr="00983AE6" w14:paraId="15F265F9" w14:textId="77777777" w:rsidTr="005D7211">
        <w:trPr>
          <w:cantSplit/>
          <w:trHeight w:val="1888"/>
        </w:trPr>
        <w:tc>
          <w:tcPr>
            <w:cnfStyle w:val="001000000000" w:firstRow="0" w:lastRow="0" w:firstColumn="1" w:lastColumn="0" w:oddVBand="0" w:evenVBand="0" w:oddHBand="0" w:evenHBand="0" w:firstRowFirstColumn="0" w:firstRowLastColumn="0" w:lastRowFirstColumn="0" w:lastRowLastColumn="0"/>
            <w:tcW w:w="8364" w:type="dxa"/>
          </w:tcPr>
          <w:p w14:paraId="22E780ED" w14:textId="5A3FC812" w:rsidR="00983AE6" w:rsidRPr="000D3B6E" w:rsidRDefault="00983AE6" w:rsidP="005F300B">
            <w:pPr>
              <w:spacing w:after="144"/>
              <w:rPr>
                <w:rFonts w:cstheme="minorHAnsi"/>
                <w:b w:val="0"/>
              </w:rPr>
            </w:pPr>
            <w:r w:rsidRPr="000D3B6E">
              <w:rPr>
                <w:rFonts w:cstheme="minorHAnsi"/>
                <w:b w:val="0"/>
              </w:rPr>
              <w:t xml:space="preserve">Provider fails to comply with any requirements in relation to marketing of courses that could be covered by a VET student loan set out in the Rules (that </w:t>
            </w:r>
            <w:r w:rsidR="00A0727A">
              <w:rPr>
                <w:rFonts w:cstheme="minorHAnsi"/>
                <w:b w:val="0"/>
              </w:rPr>
              <w:t>is with Subdivision C, Division </w:t>
            </w:r>
            <w:r w:rsidRPr="000D3B6E">
              <w:rPr>
                <w:rFonts w:cstheme="minorHAnsi"/>
                <w:b w:val="0"/>
              </w:rPr>
              <w:t>8, Part 7 of the Rules).</w:t>
            </w:r>
          </w:p>
          <w:p w14:paraId="2649C164"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768CE321"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s64(2)</w:t>
            </w:r>
          </w:p>
        </w:tc>
      </w:tr>
      <w:tr w:rsidR="00983AE6" w:rsidRPr="00983AE6" w14:paraId="738D880C"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0F3EB409" w14:textId="77777777" w:rsidR="00983AE6" w:rsidRPr="00B337F5" w:rsidRDefault="00983AE6" w:rsidP="005F300B">
            <w:pPr>
              <w:pStyle w:val="tablesubheading"/>
              <w:rPr>
                <w:b/>
              </w:rPr>
            </w:pPr>
            <w:r w:rsidRPr="00B337F5">
              <w:rPr>
                <w:b/>
              </w:rPr>
              <w:lastRenderedPageBreak/>
              <w:t xml:space="preserve">General provisions </w:t>
            </w:r>
          </w:p>
        </w:tc>
      </w:tr>
      <w:tr w:rsidR="00983AE6" w:rsidRPr="00983AE6" w14:paraId="3A364148"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17A918D7" w14:textId="77777777" w:rsidR="00983AE6" w:rsidRPr="000D3B6E" w:rsidRDefault="00983AE6" w:rsidP="005F300B">
            <w:pPr>
              <w:spacing w:after="144"/>
              <w:rPr>
                <w:rFonts w:cstheme="minorHAnsi"/>
                <w:b w:val="0"/>
              </w:rPr>
            </w:pPr>
            <w:r w:rsidRPr="000D3B6E">
              <w:rPr>
                <w:rFonts w:cstheme="minorHAnsi"/>
                <w:b w:val="0"/>
              </w:rPr>
              <w:t>Provider fails to comply with requirements in relation to electronic communications set out in the Rules (that is with Division 1, Part 9 of the Rules).</w:t>
            </w:r>
          </w:p>
          <w:p w14:paraId="4D2AB9E9"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7B2AF642"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s102(2)</w:t>
            </w:r>
          </w:p>
        </w:tc>
      </w:tr>
      <w:tr w:rsidR="00983AE6" w:rsidRPr="00983AE6" w14:paraId="5BC31007"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4E733202" w14:textId="77777777" w:rsidR="00983AE6" w:rsidRPr="000D3B6E" w:rsidRDefault="00983AE6" w:rsidP="005F300B">
            <w:pPr>
              <w:spacing w:after="144"/>
              <w:rPr>
                <w:rFonts w:cstheme="minorHAnsi"/>
                <w:b w:val="0"/>
              </w:rPr>
            </w:pPr>
            <w:r w:rsidRPr="000D3B6E">
              <w:rPr>
                <w:rFonts w:cstheme="minorHAnsi"/>
                <w:b w:val="0"/>
              </w:rPr>
              <w:t xml:space="preserve">Provider fails to comply with a requirement from the Secretary under subsection 103(4) to release or publish information about it (such as, completion rates, enrolment numbers, courses offered </w:t>
            </w:r>
            <w:r w:rsidR="00CA63F8" w:rsidRPr="000D3B6E">
              <w:rPr>
                <w:rFonts w:cstheme="minorHAnsi"/>
                <w:b w:val="0"/>
              </w:rPr>
              <w:t>etc.</w:t>
            </w:r>
            <w:r w:rsidRPr="000D3B6E">
              <w:rPr>
                <w:rFonts w:cstheme="minorHAnsi"/>
                <w:b w:val="0"/>
              </w:rPr>
              <w:t>).</w:t>
            </w:r>
          </w:p>
          <w:p w14:paraId="3452622D"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578D1DF4"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s103(5)</w:t>
            </w:r>
          </w:p>
        </w:tc>
      </w:tr>
      <w:tr w:rsidR="00983AE6" w:rsidRPr="00983AE6" w14:paraId="0CB41AC8"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654AB615" w14:textId="77777777" w:rsidR="00983AE6" w:rsidRPr="000D3B6E" w:rsidRDefault="00983AE6" w:rsidP="005F300B">
            <w:pPr>
              <w:spacing w:after="144"/>
              <w:rPr>
                <w:rFonts w:cstheme="minorHAnsi"/>
                <w:b w:val="0"/>
              </w:rPr>
            </w:pPr>
            <w:r w:rsidRPr="000D3B6E">
              <w:rPr>
                <w:rFonts w:cstheme="minorHAnsi"/>
                <w:b w:val="0"/>
              </w:rPr>
              <w:t>A person (broader than provider) fails to provide information to the Secretary in accordance with the written notice for information given by the Secretary under section 104(1).</w:t>
            </w:r>
          </w:p>
          <w:p w14:paraId="7E381FCA"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4A287242"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s104(4)</w:t>
            </w:r>
          </w:p>
        </w:tc>
      </w:tr>
      <w:tr w:rsidR="00983AE6" w:rsidRPr="00983AE6" w14:paraId="74BE64FD"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74742519" w14:textId="77777777" w:rsidR="00983AE6" w:rsidRPr="000D3B6E" w:rsidRDefault="00983AE6" w:rsidP="005F300B">
            <w:pPr>
              <w:spacing w:after="144"/>
              <w:rPr>
                <w:rFonts w:cstheme="minorHAnsi"/>
                <w:b w:val="0"/>
              </w:rPr>
            </w:pPr>
            <w:r w:rsidRPr="000D3B6E">
              <w:rPr>
                <w:rFonts w:cstheme="minorHAnsi"/>
                <w:b w:val="0"/>
                <w:i/>
              </w:rPr>
              <w:t>Strict liability offence</w:t>
            </w:r>
            <w:r w:rsidRPr="000D3B6E">
              <w:rPr>
                <w:rFonts w:cstheme="minorHAnsi"/>
                <w:b w:val="0"/>
              </w:rPr>
              <w:t>: A person (broader than provider) fails to provide information to the Secretary in accordance with the written notice for information given by the Secretary under section 104(1).</w:t>
            </w:r>
          </w:p>
          <w:p w14:paraId="26C023FF" w14:textId="77777777" w:rsidR="00983AE6" w:rsidRPr="00983AE6" w:rsidRDefault="00983AE6" w:rsidP="005F300B">
            <w:pPr>
              <w:spacing w:after="144"/>
              <w:rPr>
                <w:rFonts w:cstheme="minorHAnsi"/>
              </w:rPr>
            </w:pPr>
            <w:r w:rsidRPr="00983AE6">
              <w:rPr>
                <w:rFonts w:cstheme="minorHAnsi"/>
              </w:rPr>
              <w:t>60 penalty units</w:t>
            </w:r>
          </w:p>
        </w:tc>
        <w:tc>
          <w:tcPr>
            <w:tcW w:w="992" w:type="dxa"/>
          </w:tcPr>
          <w:p w14:paraId="3431C77A"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s104(5)</w:t>
            </w:r>
          </w:p>
        </w:tc>
      </w:tr>
      <w:tr w:rsidR="00983AE6" w:rsidRPr="00983AE6" w14:paraId="3B21A2D7"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47353DAA" w14:textId="0C04DE6C" w:rsidR="00983AE6" w:rsidRPr="000D3B6E" w:rsidRDefault="00983AE6" w:rsidP="005F300B">
            <w:pPr>
              <w:spacing w:after="144"/>
              <w:rPr>
                <w:rFonts w:cstheme="minorHAnsi"/>
                <w:b w:val="0"/>
              </w:rPr>
            </w:pPr>
            <w:r w:rsidRPr="000D3B6E">
              <w:rPr>
                <w:rFonts w:cstheme="minorHAnsi"/>
                <w:b w:val="0"/>
              </w:rPr>
              <w:t xml:space="preserve">A person gives information or a document to a VET officer or otherwise under or for the purpose of the Act (including the Rules </w:t>
            </w:r>
            <w:r w:rsidR="00CA63F8" w:rsidRPr="000D3B6E">
              <w:rPr>
                <w:rFonts w:cstheme="minorHAnsi"/>
                <w:b w:val="0"/>
              </w:rPr>
              <w:t>etc.</w:t>
            </w:r>
            <w:r w:rsidRPr="000D3B6E">
              <w:rPr>
                <w:rFonts w:cstheme="minorHAnsi"/>
                <w:b w:val="0"/>
              </w:rPr>
              <w:t>) and the information or document is false or misleading (in a material particular), or omits any matter or thing without which the information or document is misleading (in a material particular). (Note: see also offences under Criminal Code s 137.1, 137.2))</w:t>
            </w:r>
          </w:p>
          <w:p w14:paraId="608B710E" w14:textId="77777777" w:rsidR="00983AE6" w:rsidRPr="00983AE6" w:rsidRDefault="00983AE6" w:rsidP="005F300B">
            <w:pPr>
              <w:spacing w:after="144"/>
              <w:rPr>
                <w:rFonts w:cstheme="minorHAnsi"/>
              </w:rPr>
            </w:pPr>
            <w:r w:rsidRPr="00983AE6">
              <w:rPr>
                <w:rFonts w:cstheme="minorHAnsi"/>
              </w:rPr>
              <w:t xml:space="preserve">240 penalty units </w:t>
            </w:r>
          </w:p>
        </w:tc>
        <w:tc>
          <w:tcPr>
            <w:tcW w:w="992" w:type="dxa"/>
          </w:tcPr>
          <w:p w14:paraId="607D1F2B"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s106(3)</w:t>
            </w:r>
          </w:p>
        </w:tc>
      </w:tr>
      <w:tr w:rsidR="00983AE6" w:rsidRPr="00983AE6" w14:paraId="4C3507C8"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9356" w:type="dxa"/>
            <w:gridSpan w:val="2"/>
            <w:shd w:val="clear" w:color="auto" w:fill="00ADEF"/>
          </w:tcPr>
          <w:p w14:paraId="1470F35E" w14:textId="77777777" w:rsidR="00983AE6" w:rsidRPr="00B337F5" w:rsidRDefault="00983AE6" w:rsidP="00983AE6">
            <w:pPr>
              <w:pStyle w:val="tablesubheading"/>
              <w:rPr>
                <w:b/>
                <w:color w:val="7030A0"/>
              </w:rPr>
            </w:pPr>
            <w:r w:rsidRPr="00B337F5">
              <w:rPr>
                <w:b/>
              </w:rPr>
              <w:t>Offences for misuse of personal information [broader application than just provider]</w:t>
            </w:r>
          </w:p>
        </w:tc>
      </w:tr>
      <w:tr w:rsidR="00983AE6" w:rsidRPr="00983AE6" w14:paraId="0733FBC9"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29786B0F" w14:textId="77777777" w:rsidR="00983AE6" w:rsidRPr="000D3B6E" w:rsidRDefault="00983AE6" w:rsidP="005F300B">
            <w:pPr>
              <w:spacing w:after="144"/>
              <w:rPr>
                <w:rFonts w:cstheme="minorHAnsi"/>
                <w:b w:val="0"/>
              </w:rPr>
            </w:pPr>
            <w:r w:rsidRPr="000D3B6E">
              <w:rPr>
                <w:rFonts w:cstheme="minorHAnsi"/>
                <w:b w:val="0"/>
              </w:rPr>
              <w:t>A person commits an offence if: the person is, or has been, a VET officer; and the person has obtained or generated personal information in his or her capacity as a VET officer; and the person: (i) uses the information; or (ii) discloses the information to another person.</w:t>
            </w:r>
          </w:p>
          <w:p w14:paraId="0BAFEB67" w14:textId="77777777" w:rsidR="00983AE6" w:rsidRPr="00983AE6" w:rsidRDefault="00983AE6" w:rsidP="005F300B">
            <w:pPr>
              <w:spacing w:after="144"/>
              <w:rPr>
                <w:rFonts w:cstheme="minorHAnsi"/>
              </w:rPr>
            </w:pPr>
            <w:r w:rsidRPr="00983AE6">
              <w:rPr>
                <w:rFonts w:cstheme="minorHAnsi"/>
              </w:rPr>
              <w:t>Imprisonment for 2 years.</w:t>
            </w:r>
          </w:p>
        </w:tc>
        <w:tc>
          <w:tcPr>
            <w:tcW w:w="992" w:type="dxa"/>
          </w:tcPr>
          <w:p w14:paraId="76E696CC"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s99(1)</w:t>
            </w:r>
          </w:p>
        </w:tc>
      </w:tr>
      <w:tr w:rsidR="00983AE6" w:rsidRPr="00983AE6" w14:paraId="118B9D1D"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704F023E" w14:textId="77777777" w:rsidR="00983AE6" w:rsidRPr="000D3B6E" w:rsidRDefault="00983AE6" w:rsidP="005F300B">
            <w:pPr>
              <w:spacing w:after="144"/>
              <w:rPr>
                <w:rFonts w:cstheme="minorHAnsi"/>
                <w:b w:val="0"/>
              </w:rPr>
            </w:pPr>
            <w:r w:rsidRPr="000D3B6E">
              <w:rPr>
                <w:rFonts w:cstheme="minorHAnsi"/>
                <w:b w:val="0"/>
              </w:rPr>
              <w:t>A person commits an offence if the person uses personal information and the information was disclosed to an agency, body or person under section 95; and the use of the information is not for a permitted purpose.</w:t>
            </w:r>
          </w:p>
          <w:p w14:paraId="2215F584" w14:textId="77777777" w:rsidR="00983AE6" w:rsidRPr="00983AE6" w:rsidRDefault="00983AE6" w:rsidP="005F300B">
            <w:pPr>
              <w:spacing w:after="144"/>
              <w:rPr>
                <w:rFonts w:cstheme="minorHAnsi"/>
                <w:b w:val="0"/>
              </w:rPr>
            </w:pPr>
            <w:r w:rsidRPr="00983AE6">
              <w:rPr>
                <w:rFonts w:cstheme="minorHAnsi"/>
              </w:rPr>
              <w:t>Imprisonment for 2 years.</w:t>
            </w:r>
          </w:p>
        </w:tc>
        <w:tc>
          <w:tcPr>
            <w:tcW w:w="992" w:type="dxa"/>
          </w:tcPr>
          <w:p w14:paraId="3F789F7F"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s100(1)</w:t>
            </w:r>
          </w:p>
        </w:tc>
      </w:tr>
      <w:tr w:rsidR="00983AE6" w:rsidRPr="00983AE6" w14:paraId="3926DE7C"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34170A13" w14:textId="77777777" w:rsidR="00983AE6" w:rsidRPr="000D3B6E" w:rsidRDefault="00983AE6" w:rsidP="005F300B">
            <w:pPr>
              <w:spacing w:after="144"/>
              <w:rPr>
                <w:rFonts w:cstheme="minorHAnsi"/>
                <w:b w:val="0"/>
              </w:rPr>
            </w:pPr>
            <w:r w:rsidRPr="000D3B6E">
              <w:rPr>
                <w:rFonts w:cstheme="minorHAnsi"/>
                <w:b w:val="0"/>
              </w:rPr>
              <w:t xml:space="preserve">A person commits an offence if: the person discloses personal information; and the information was disclosed to an agency, body or person under section 95; and either or both of the following apply: </w:t>
            </w:r>
          </w:p>
          <w:p w14:paraId="72EA38A4" w14:textId="77777777" w:rsidR="00983AE6" w:rsidRPr="000D3B6E" w:rsidRDefault="00983AE6" w:rsidP="005F300B">
            <w:pPr>
              <w:spacing w:after="144"/>
              <w:rPr>
                <w:rFonts w:cstheme="minorHAnsi"/>
                <w:b w:val="0"/>
              </w:rPr>
            </w:pPr>
            <w:r w:rsidRPr="000D3B6E">
              <w:rPr>
                <w:rFonts w:cstheme="minorHAnsi"/>
                <w:b w:val="0"/>
              </w:rPr>
              <w:t xml:space="preserve">(i) the disclosure is not for a permitted purpose </w:t>
            </w:r>
          </w:p>
          <w:p w14:paraId="1E8BDF32" w14:textId="77777777" w:rsidR="00983AE6" w:rsidRPr="000D3B6E" w:rsidRDefault="00983AE6" w:rsidP="005F300B">
            <w:pPr>
              <w:spacing w:after="144"/>
              <w:rPr>
                <w:rFonts w:cstheme="minorHAnsi"/>
                <w:b w:val="0"/>
              </w:rPr>
            </w:pPr>
            <w:r w:rsidRPr="000D3B6E">
              <w:rPr>
                <w:rFonts w:cstheme="minorHAnsi"/>
                <w:b w:val="0"/>
              </w:rPr>
              <w:t xml:space="preserve">(ii) the disclosure is to a person who is not an officer or employee of, or engaged by, the agency, body or person to whom the information was disclosed under section 95.  </w:t>
            </w:r>
          </w:p>
          <w:p w14:paraId="76FE3F20" w14:textId="77777777" w:rsidR="00983AE6" w:rsidRPr="00983AE6" w:rsidRDefault="00983AE6" w:rsidP="005F300B">
            <w:pPr>
              <w:spacing w:after="144"/>
              <w:rPr>
                <w:rFonts w:cstheme="minorHAnsi"/>
                <w:b w:val="0"/>
              </w:rPr>
            </w:pPr>
            <w:r w:rsidRPr="00983AE6">
              <w:rPr>
                <w:rFonts w:cstheme="minorHAnsi"/>
              </w:rPr>
              <w:t>Imprisonment for 2 years.</w:t>
            </w:r>
          </w:p>
        </w:tc>
        <w:tc>
          <w:tcPr>
            <w:tcW w:w="992" w:type="dxa"/>
          </w:tcPr>
          <w:p w14:paraId="12C8B726"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s100(3)</w:t>
            </w:r>
          </w:p>
        </w:tc>
      </w:tr>
      <w:tr w:rsidR="00983AE6" w:rsidRPr="00983AE6" w14:paraId="163BD5AB" w14:textId="77777777" w:rsidTr="005F300B">
        <w:trPr>
          <w:cantSplit/>
        </w:trPr>
        <w:tc>
          <w:tcPr>
            <w:cnfStyle w:val="001000000000" w:firstRow="0" w:lastRow="0" w:firstColumn="1" w:lastColumn="0" w:oddVBand="0" w:evenVBand="0" w:oddHBand="0" w:evenHBand="0" w:firstRowFirstColumn="0" w:firstRowLastColumn="0" w:lastRowFirstColumn="0" w:lastRowLastColumn="0"/>
            <w:tcW w:w="8364" w:type="dxa"/>
          </w:tcPr>
          <w:p w14:paraId="2331FEEF" w14:textId="77777777" w:rsidR="00983AE6" w:rsidRPr="000D3B6E" w:rsidRDefault="00983AE6" w:rsidP="005F300B">
            <w:pPr>
              <w:spacing w:after="144"/>
              <w:rPr>
                <w:rFonts w:cstheme="minorHAnsi"/>
                <w:b w:val="0"/>
              </w:rPr>
            </w:pPr>
            <w:r w:rsidRPr="000D3B6E">
              <w:rPr>
                <w:rFonts w:cstheme="minorHAnsi"/>
                <w:b w:val="0"/>
              </w:rPr>
              <w:lastRenderedPageBreak/>
              <w:t>A person commits an offence if:</w:t>
            </w:r>
          </w:p>
          <w:p w14:paraId="500DE007" w14:textId="77777777" w:rsidR="00983AE6" w:rsidRPr="000D3B6E" w:rsidRDefault="00983AE6" w:rsidP="00983AE6">
            <w:pPr>
              <w:pStyle w:val="ListParagraph"/>
              <w:numPr>
                <w:ilvl w:val="0"/>
                <w:numId w:val="25"/>
              </w:numPr>
              <w:spacing w:after="144"/>
              <w:rPr>
                <w:rFonts w:cstheme="minorHAnsi"/>
                <w:b w:val="0"/>
              </w:rPr>
            </w:pPr>
            <w:r w:rsidRPr="000D3B6E">
              <w:rPr>
                <w:rFonts w:cstheme="minorHAnsi"/>
                <w:b w:val="0"/>
              </w:rPr>
              <w:t>the person causes any unauthorised access to, or modification of, personal information; and</w:t>
            </w:r>
          </w:p>
          <w:p w14:paraId="3F585824" w14:textId="77777777" w:rsidR="00983AE6" w:rsidRPr="000D3B6E" w:rsidRDefault="00983AE6" w:rsidP="00983AE6">
            <w:pPr>
              <w:pStyle w:val="ListParagraph"/>
              <w:numPr>
                <w:ilvl w:val="0"/>
                <w:numId w:val="25"/>
              </w:numPr>
              <w:spacing w:after="144"/>
              <w:rPr>
                <w:rFonts w:cstheme="minorHAnsi"/>
                <w:b w:val="0"/>
              </w:rPr>
            </w:pPr>
            <w:r w:rsidRPr="000D3B6E">
              <w:rPr>
                <w:rFonts w:cstheme="minorHAnsi"/>
                <w:b w:val="0"/>
              </w:rPr>
              <w:t>the personal information is VET information:</w:t>
            </w:r>
          </w:p>
          <w:p w14:paraId="3B3A30A0" w14:textId="77777777" w:rsidR="00983AE6" w:rsidRPr="000D3B6E" w:rsidRDefault="00983AE6" w:rsidP="005F300B">
            <w:pPr>
              <w:spacing w:after="144"/>
              <w:ind w:left="743"/>
              <w:rPr>
                <w:rFonts w:cstheme="minorHAnsi"/>
                <w:b w:val="0"/>
              </w:rPr>
            </w:pPr>
            <w:r w:rsidRPr="000D3B6E">
              <w:rPr>
                <w:rFonts w:cstheme="minorHAnsi"/>
                <w:b w:val="0"/>
              </w:rPr>
              <w:t>(i) that is held on a computer; and</w:t>
            </w:r>
          </w:p>
          <w:p w14:paraId="426831E8" w14:textId="77777777" w:rsidR="00983AE6" w:rsidRPr="000D3B6E" w:rsidRDefault="00983AE6" w:rsidP="005F300B">
            <w:pPr>
              <w:spacing w:after="144"/>
              <w:ind w:left="1026" w:hanging="283"/>
              <w:rPr>
                <w:rFonts w:cstheme="minorHAnsi"/>
                <w:b w:val="0"/>
              </w:rPr>
            </w:pPr>
            <w:r w:rsidRPr="000D3B6E">
              <w:rPr>
                <w:rFonts w:cstheme="minorHAnsi"/>
                <w:b w:val="0"/>
              </w:rPr>
              <w:t>(ii) to which access is restricted by an access control system associated with a function of the computer; and</w:t>
            </w:r>
          </w:p>
          <w:p w14:paraId="324F6B92" w14:textId="77777777" w:rsidR="00983AE6" w:rsidRPr="000D3B6E" w:rsidRDefault="00983AE6" w:rsidP="00983AE6">
            <w:pPr>
              <w:pStyle w:val="ListParagraph"/>
              <w:numPr>
                <w:ilvl w:val="0"/>
                <w:numId w:val="25"/>
              </w:numPr>
              <w:spacing w:after="144"/>
              <w:rPr>
                <w:rFonts w:cstheme="minorHAnsi"/>
                <w:b w:val="0"/>
              </w:rPr>
            </w:pPr>
            <w:r w:rsidRPr="000D3B6E">
              <w:rPr>
                <w:rFonts w:cstheme="minorHAnsi"/>
                <w:b w:val="0"/>
              </w:rPr>
              <w:t>the person intends to cause the access or modification; and</w:t>
            </w:r>
          </w:p>
          <w:p w14:paraId="2BDE9529" w14:textId="77777777" w:rsidR="00983AE6" w:rsidRPr="000D3B6E" w:rsidRDefault="00983AE6" w:rsidP="00983AE6">
            <w:pPr>
              <w:pStyle w:val="ListParagraph"/>
              <w:numPr>
                <w:ilvl w:val="0"/>
                <w:numId w:val="25"/>
              </w:numPr>
              <w:spacing w:after="144"/>
              <w:rPr>
                <w:rFonts w:cstheme="minorHAnsi"/>
                <w:b w:val="0"/>
              </w:rPr>
            </w:pPr>
            <w:r w:rsidRPr="000D3B6E">
              <w:rPr>
                <w:rFonts w:cstheme="minorHAnsi"/>
                <w:b w:val="0"/>
              </w:rPr>
              <w:t>the person knows that the access or modification is unauthorised; and</w:t>
            </w:r>
          </w:p>
          <w:p w14:paraId="150D0690" w14:textId="77777777" w:rsidR="00983AE6" w:rsidRPr="000D3B6E" w:rsidRDefault="00983AE6" w:rsidP="00983AE6">
            <w:pPr>
              <w:pStyle w:val="ListParagraph"/>
              <w:numPr>
                <w:ilvl w:val="0"/>
                <w:numId w:val="25"/>
              </w:numPr>
              <w:spacing w:after="144"/>
              <w:rPr>
                <w:rFonts w:cstheme="minorHAnsi"/>
                <w:b w:val="0"/>
              </w:rPr>
            </w:pPr>
            <w:r w:rsidRPr="000D3B6E">
              <w:rPr>
                <w:rFonts w:cstheme="minorHAnsi"/>
                <w:b w:val="0"/>
              </w:rPr>
              <w:t>one or more of the following apply [Note, absolute liability applies to the following]:</w:t>
            </w:r>
          </w:p>
          <w:p w14:paraId="2FC16C6C" w14:textId="77777777" w:rsidR="00983AE6" w:rsidRPr="000D3B6E" w:rsidRDefault="00983AE6" w:rsidP="005F300B">
            <w:pPr>
              <w:spacing w:after="144"/>
              <w:ind w:left="743"/>
              <w:rPr>
                <w:rFonts w:cstheme="minorHAnsi"/>
                <w:b w:val="0"/>
              </w:rPr>
            </w:pPr>
            <w:r w:rsidRPr="000D3B6E">
              <w:rPr>
                <w:rFonts w:cstheme="minorHAnsi"/>
                <w:b w:val="0"/>
              </w:rPr>
              <w:t>(i) the information is held on a computer of an approved course provider;</w:t>
            </w:r>
          </w:p>
          <w:p w14:paraId="2A694839" w14:textId="77777777" w:rsidR="00983AE6" w:rsidRPr="000D3B6E" w:rsidRDefault="00983AE6" w:rsidP="005F300B">
            <w:pPr>
              <w:spacing w:after="144"/>
              <w:ind w:left="743"/>
              <w:rPr>
                <w:rFonts w:cstheme="minorHAnsi"/>
                <w:b w:val="0"/>
              </w:rPr>
            </w:pPr>
            <w:r w:rsidRPr="000D3B6E">
              <w:rPr>
                <w:rFonts w:cstheme="minorHAnsi"/>
                <w:b w:val="0"/>
              </w:rPr>
              <w:t>(ii) the information is held on behalf of an approved course provider;</w:t>
            </w:r>
          </w:p>
          <w:p w14:paraId="24047625" w14:textId="77777777" w:rsidR="00983AE6" w:rsidRPr="000D3B6E" w:rsidRDefault="00983AE6" w:rsidP="005F300B">
            <w:pPr>
              <w:spacing w:after="144"/>
              <w:ind w:left="743"/>
              <w:rPr>
                <w:rFonts w:cstheme="minorHAnsi"/>
                <w:b w:val="0"/>
              </w:rPr>
            </w:pPr>
            <w:r w:rsidRPr="000D3B6E">
              <w:rPr>
                <w:rFonts w:cstheme="minorHAnsi"/>
                <w:b w:val="0"/>
              </w:rPr>
              <w:t>(iii) the information is held on a computer of a Tertiary Admission Centre;</w:t>
            </w:r>
          </w:p>
          <w:p w14:paraId="5A352F33" w14:textId="77777777" w:rsidR="00983AE6" w:rsidRPr="000D3B6E" w:rsidRDefault="00983AE6" w:rsidP="005F300B">
            <w:pPr>
              <w:spacing w:after="144"/>
              <w:ind w:left="743"/>
              <w:rPr>
                <w:rFonts w:cstheme="minorHAnsi"/>
                <w:b w:val="0"/>
              </w:rPr>
            </w:pPr>
            <w:r w:rsidRPr="000D3B6E">
              <w:rPr>
                <w:rFonts w:cstheme="minorHAnsi"/>
                <w:b w:val="0"/>
              </w:rPr>
              <w:t>(iv) the information is held on behalf of a Tertiary Admission Centre.</w:t>
            </w:r>
          </w:p>
          <w:p w14:paraId="4560957D" w14:textId="77777777" w:rsidR="00983AE6" w:rsidRPr="00983AE6" w:rsidRDefault="00983AE6" w:rsidP="005F300B">
            <w:pPr>
              <w:spacing w:after="144"/>
              <w:rPr>
                <w:rFonts w:cstheme="minorHAnsi"/>
              </w:rPr>
            </w:pPr>
            <w:r w:rsidRPr="00983AE6">
              <w:rPr>
                <w:rFonts w:cstheme="minorHAnsi"/>
              </w:rPr>
              <w:t>Penalty: Imprisonment for 2 years.</w:t>
            </w:r>
          </w:p>
        </w:tc>
        <w:tc>
          <w:tcPr>
            <w:tcW w:w="992" w:type="dxa"/>
          </w:tcPr>
          <w:p w14:paraId="2553ADB6" w14:textId="77777777" w:rsidR="00983AE6" w:rsidRPr="00983AE6" w:rsidRDefault="00983AE6" w:rsidP="005F300B">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983AE6">
              <w:rPr>
                <w:rFonts w:cstheme="minorHAnsi"/>
              </w:rPr>
              <w:t>s101(1)</w:t>
            </w:r>
          </w:p>
        </w:tc>
      </w:tr>
    </w:tbl>
    <w:p w14:paraId="3C5FF0E2" w14:textId="77777777" w:rsidR="00983AE6" w:rsidRPr="00736F23" w:rsidRDefault="00983AE6" w:rsidP="00983AE6">
      <w:pPr>
        <w:pStyle w:val="Heading1"/>
        <w:keepNext/>
        <w:numPr>
          <w:ilvl w:val="0"/>
          <w:numId w:val="26"/>
        </w:numPr>
        <w:pBdr>
          <w:top w:val="single" w:sz="4" w:space="6" w:color="auto"/>
          <w:bottom w:val="none" w:sz="0" w:space="0" w:color="auto"/>
        </w:pBdr>
        <w:spacing w:before="480" w:after="0"/>
        <w:contextualSpacing w:val="0"/>
        <w:rPr>
          <w:rFonts w:asciiTheme="minorHAnsi" w:hAnsiTheme="minorHAnsi" w:cstheme="minorHAnsi"/>
          <w:sz w:val="20"/>
          <w:szCs w:val="20"/>
        </w:rPr>
      </w:pPr>
      <w:r w:rsidRPr="00736F23">
        <w:rPr>
          <w:rFonts w:asciiTheme="minorHAnsi" w:hAnsiTheme="minorHAnsi" w:cstheme="minorHAnsi"/>
          <w:sz w:val="20"/>
          <w:szCs w:val="20"/>
        </w:rPr>
        <w:br w:type="page"/>
      </w:r>
    </w:p>
    <w:p w14:paraId="47A8E2EC" w14:textId="77777777" w:rsidR="00983AE6" w:rsidRPr="00736F23" w:rsidRDefault="00983AE6" w:rsidP="009B6106">
      <w:pPr>
        <w:pStyle w:val="Heading2"/>
      </w:pPr>
      <w:bookmarkStart w:id="4828" w:name="_Appendix_C_–"/>
      <w:bookmarkStart w:id="4829" w:name="_Toc471374632"/>
      <w:bookmarkStart w:id="4830" w:name="_Toc477960072"/>
      <w:bookmarkStart w:id="4831" w:name="_Toc483222962"/>
      <w:bookmarkStart w:id="4832" w:name="_Toc501621274"/>
      <w:bookmarkEnd w:id="4828"/>
      <w:r w:rsidRPr="00736F23">
        <w:lastRenderedPageBreak/>
        <w:t xml:space="preserve">Appendix </w:t>
      </w:r>
      <w:r>
        <w:t>B</w:t>
      </w:r>
      <w:r w:rsidRPr="00736F23">
        <w:t xml:space="preserve"> – Checklist of information to be provided to students prior to enrolment</w:t>
      </w:r>
      <w:bookmarkEnd w:id="4829"/>
      <w:bookmarkEnd w:id="4830"/>
      <w:bookmarkEnd w:id="4831"/>
      <w:bookmarkEnd w:id="4832"/>
    </w:p>
    <w:tbl>
      <w:tblPr>
        <w:tblStyle w:val="TableGrid"/>
        <w:tblW w:w="9214" w:type="dxa"/>
        <w:tblInd w:w="108" w:type="dxa"/>
        <w:tblLayout w:type="fixed"/>
        <w:tblLook w:val="04A0" w:firstRow="1" w:lastRow="0" w:firstColumn="1" w:lastColumn="0" w:noHBand="0" w:noVBand="1"/>
        <w:tblCaption w:val="Information required to be provided prior to enrolment (see section 98 of the Rules)"/>
        <w:tblDescription w:val="Information required to be provided prior to enrolment (see section 98 of the Rules)"/>
      </w:tblPr>
      <w:tblGrid>
        <w:gridCol w:w="7655"/>
        <w:gridCol w:w="1559"/>
      </w:tblGrid>
      <w:tr w:rsidR="00983AE6" w:rsidRPr="00736F23" w14:paraId="3D8C346F" w14:textId="77777777" w:rsidTr="005F300B">
        <w:trPr>
          <w:cantSplit/>
          <w:tblHeader/>
        </w:trPr>
        <w:tc>
          <w:tcPr>
            <w:tcW w:w="7655" w:type="dxa"/>
            <w:shd w:val="clear" w:color="auto" w:fill="24206B"/>
          </w:tcPr>
          <w:p w14:paraId="351642E3" w14:textId="77777777" w:rsidR="00983AE6" w:rsidRPr="00EE777E" w:rsidRDefault="00983AE6" w:rsidP="00983AE6">
            <w:pPr>
              <w:pStyle w:val="Tableheading"/>
            </w:pPr>
            <w:r w:rsidRPr="00EE777E">
              <w:t xml:space="preserve">Information required to be provided prior to enrolment </w:t>
            </w:r>
          </w:p>
          <w:p w14:paraId="3210DF6C" w14:textId="77777777" w:rsidR="00983AE6" w:rsidRPr="00EE777E" w:rsidRDefault="00983AE6" w:rsidP="00983AE6">
            <w:pPr>
              <w:pStyle w:val="Tableheading"/>
            </w:pPr>
            <w:r w:rsidRPr="00EE777E">
              <w:t>(see section 98 of the Rules)</w:t>
            </w:r>
          </w:p>
          <w:p w14:paraId="4C580DB9" w14:textId="77777777" w:rsidR="00983AE6" w:rsidRPr="00EE777E" w:rsidRDefault="00983AE6" w:rsidP="00983AE6">
            <w:pPr>
              <w:pStyle w:val="Tableheading"/>
            </w:pPr>
          </w:p>
        </w:tc>
        <w:tc>
          <w:tcPr>
            <w:tcW w:w="1559" w:type="dxa"/>
            <w:shd w:val="clear" w:color="auto" w:fill="24206B"/>
          </w:tcPr>
          <w:p w14:paraId="691343BA" w14:textId="77777777" w:rsidR="00983AE6" w:rsidRPr="00EE777E" w:rsidRDefault="00983AE6" w:rsidP="00983AE6">
            <w:pPr>
              <w:pStyle w:val="Tableheading"/>
            </w:pPr>
            <w:r w:rsidRPr="00EE777E">
              <w:t xml:space="preserve">Information provided </w:t>
            </w:r>
          </w:p>
          <w:p w14:paraId="231A2863" w14:textId="77777777" w:rsidR="00983AE6" w:rsidRPr="00EE777E" w:rsidRDefault="00C21A5E" w:rsidP="00983AE6">
            <w:pPr>
              <w:pStyle w:val="Tableheading"/>
              <w:jc w:val="center"/>
            </w:pPr>
            <w:r>
              <w:sym w:font="Wingdings" w:char="F0FE"/>
            </w:r>
          </w:p>
        </w:tc>
      </w:tr>
      <w:tr w:rsidR="00983AE6" w:rsidRPr="00736F23" w14:paraId="27E32980" w14:textId="77777777" w:rsidTr="005F300B">
        <w:trPr>
          <w:cantSplit/>
        </w:trPr>
        <w:tc>
          <w:tcPr>
            <w:tcW w:w="7655" w:type="dxa"/>
            <w:shd w:val="clear" w:color="auto" w:fill="auto"/>
          </w:tcPr>
          <w:p w14:paraId="46C45154" w14:textId="77777777" w:rsidR="00983AE6" w:rsidRPr="00757609"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All information required to</w:t>
            </w:r>
            <w:r w:rsidRPr="00C21381">
              <w:rPr>
                <w:rFonts w:asciiTheme="minorHAnsi" w:hAnsiTheme="minorHAnsi" w:cstheme="minorHAnsi"/>
              </w:rPr>
              <w:t xml:space="preserve"> be provided under the </w:t>
            </w:r>
            <w:hyperlink r:id="rId121" w:history="1">
              <w:r w:rsidRPr="00C21381">
                <w:rPr>
                  <w:rStyle w:val="Hyperlink"/>
                  <w:rFonts w:cstheme="minorHAnsi"/>
                </w:rPr>
                <w:t>Standards for Registered Training Organisations (RTOs) 2015</w:t>
              </w:r>
            </w:hyperlink>
            <w:r w:rsidRPr="00C21381">
              <w:rPr>
                <w:rFonts w:asciiTheme="minorHAnsi" w:hAnsiTheme="minorHAnsi" w:cstheme="minorHAnsi"/>
              </w:rPr>
              <w:t xml:space="preserve"> that </w:t>
            </w:r>
            <w:r w:rsidRPr="00736F23">
              <w:rPr>
                <w:rFonts w:asciiTheme="minorHAnsi" w:hAnsiTheme="minorHAnsi" w:cstheme="minorHAnsi"/>
              </w:rPr>
              <w:t xml:space="preserve">relates to ensuring that each learner is properly informed and </w:t>
            </w:r>
            <w:r w:rsidRPr="006003C3">
              <w:rPr>
                <w:rFonts w:asciiTheme="minorHAnsi" w:hAnsiTheme="minorHAnsi" w:cstheme="minorHAnsi"/>
              </w:rPr>
              <w:t>protected.</w:t>
            </w:r>
          </w:p>
        </w:tc>
        <w:tc>
          <w:tcPr>
            <w:tcW w:w="1559" w:type="dxa"/>
            <w:shd w:val="clear" w:color="auto" w:fill="auto"/>
            <w:vAlign w:val="center"/>
          </w:tcPr>
          <w:p w14:paraId="7470D689" w14:textId="77777777" w:rsidR="00983AE6" w:rsidRPr="00736F23" w:rsidRDefault="00C21A5E" w:rsidP="005F300B">
            <w:pPr>
              <w:pStyle w:val="Numpara4"/>
              <w:numPr>
                <w:ilvl w:val="0"/>
                <w:numId w:val="0"/>
              </w:numPr>
              <w:spacing w:before="0"/>
              <w:jc w:val="center"/>
              <w:rPr>
                <w:rFonts w:asciiTheme="minorHAnsi" w:hAnsiTheme="minorHAnsi" w:cstheme="minorHAnsi"/>
                <w:sz w:val="32"/>
                <w:szCs w:val="32"/>
              </w:rPr>
            </w:pPr>
            <w:r>
              <w:rPr>
                <w:rFonts w:ascii="MS Gothic" w:eastAsia="MS Gothic" w:hAnsi="MS Gothic" w:hint="eastAsia"/>
                <w:sz w:val="32"/>
                <w:szCs w:val="32"/>
              </w:rPr>
              <w:t>☐</w:t>
            </w:r>
          </w:p>
        </w:tc>
      </w:tr>
      <w:tr w:rsidR="00983AE6" w:rsidRPr="00736F23" w14:paraId="0D827E4E" w14:textId="77777777" w:rsidTr="005F300B">
        <w:trPr>
          <w:cantSplit/>
        </w:trPr>
        <w:tc>
          <w:tcPr>
            <w:tcW w:w="7655" w:type="dxa"/>
            <w:shd w:val="clear" w:color="auto" w:fill="auto"/>
          </w:tcPr>
          <w:p w14:paraId="50BBE459" w14:textId="77777777" w:rsidR="00983AE6" w:rsidRPr="00757609"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The tuition fees for the approved course</w:t>
            </w:r>
          </w:p>
        </w:tc>
        <w:tc>
          <w:tcPr>
            <w:tcW w:w="1559" w:type="dxa"/>
            <w:shd w:val="clear" w:color="auto" w:fill="auto"/>
            <w:vAlign w:val="center"/>
          </w:tcPr>
          <w:p w14:paraId="533403CC"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15D535C7" w14:textId="77777777" w:rsidTr="005F300B">
        <w:trPr>
          <w:cantSplit/>
        </w:trPr>
        <w:tc>
          <w:tcPr>
            <w:tcW w:w="7655" w:type="dxa"/>
            <w:shd w:val="clear" w:color="auto" w:fill="auto"/>
          </w:tcPr>
          <w:p w14:paraId="62343DF7" w14:textId="77777777" w:rsidR="00983AE6" w:rsidRPr="00757609"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Any fees other than tuition fees that are payable for the course</w:t>
            </w:r>
          </w:p>
        </w:tc>
        <w:tc>
          <w:tcPr>
            <w:tcW w:w="1559" w:type="dxa"/>
            <w:shd w:val="clear" w:color="auto" w:fill="auto"/>
            <w:vAlign w:val="center"/>
          </w:tcPr>
          <w:p w14:paraId="093A1F73"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18977FC9" w14:textId="77777777" w:rsidTr="005F300B">
        <w:trPr>
          <w:cantSplit/>
        </w:trPr>
        <w:tc>
          <w:tcPr>
            <w:tcW w:w="7655" w:type="dxa"/>
            <w:shd w:val="clear" w:color="auto" w:fill="auto"/>
          </w:tcPr>
          <w:p w14:paraId="2F7CD335" w14:textId="77777777" w:rsidR="00983AE6" w:rsidRPr="00736F23"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The student’s options for paying tuition fees, including:</w:t>
            </w:r>
          </w:p>
          <w:p w14:paraId="62BF6FC5" w14:textId="77777777" w:rsidR="00983AE6" w:rsidRPr="00736F23" w:rsidRDefault="00983AE6" w:rsidP="00983AE6">
            <w:pPr>
              <w:pStyle w:val="Numpara4"/>
              <w:keepLines/>
              <w:numPr>
                <w:ilvl w:val="4"/>
                <w:numId w:val="6"/>
              </w:numPr>
              <w:tabs>
                <w:tab w:val="num" w:pos="567"/>
              </w:tabs>
              <w:spacing w:before="0"/>
              <w:ind w:left="1168"/>
              <w:rPr>
                <w:rFonts w:asciiTheme="minorHAnsi" w:hAnsiTheme="minorHAnsi" w:cstheme="minorHAnsi"/>
              </w:rPr>
            </w:pPr>
            <w:r w:rsidRPr="00736F23">
              <w:rPr>
                <w:rFonts w:asciiTheme="minorHAnsi" w:hAnsiTheme="minorHAnsi" w:cstheme="minorHAnsi"/>
              </w:rPr>
              <w:t>payment by the student as fees become due and</w:t>
            </w:r>
          </w:p>
          <w:p w14:paraId="652FB866" w14:textId="55FD201F" w:rsidR="00983AE6" w:rsidRPr="00C75CFC" w:rsidRDefault="00983AE6" w:rsidP="00983AE6">
            <w:pPr>
              <w:pStyle w:val="Numpara4"/>
              <w:keepLines/>
              <w:numPr>
                <w:ilvl w:val="4"/>
                <w:numId w:val="6"/>
              </w:numPr>
              <w:tabs>
                <w:tab w:val="num" w:pos="567"/>
              </w:tabs>
              <w:spacing w:before="0"/>
              <w:ind w:left="1168"/>
              <w:rPr>
                <w:rFonts w:asciiTheme="minorHAnsi" w:hAnsiTheme="minorHAnsi" w:cstheme="minorHAnsi"/>
              </w:rPr>
            </w:pPr>
            <w:r w:rsidRPr="00C75CFC">
              <w:rPr>
                <w:rFonts w:asciiTheme="minorHAnsi" w:hAnsiTheme="minorHAnsi" w:cstheme="minorHAnsi"/>
              </w:rPr>
              <w:t>a VET student loan</w:t>
            </w:r>
          </w:p>
        </w:tc>
        <w:tc>
          <w:tcPr>
            <w:tcW w:w="1559" w:type="dxa"/>
            <w:shd w:val="clear" w:color="auto" w:fill="auto"/>
            <w:vAlign w:val="center"/>
          </w:tcPr>
          <w:p w14:paraId="72C2071B"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3892D7A5" w14:textId="77777777" w:rsidTr="005F300B">
        <w:trPr>
          <w:cantSplit/>
        </w:trPr>
        <w:tc>
          <w:tcPr>
            <w:tcW w:w="7655" w:type="dxa"/>
            <w:shd w:val="clear" w:color="auto" w:fill="auto"/>
          </w:tcPr>
          <w:p w14:paraId="070E07EE" w14:textId="77777777" w:rsidR="00983AE6" w:rsidRPr="00736F23"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 xml:space="preserve">Information about </w:t>
            </w:r>
            <w:r w:rsidR="00454ED5">
              <w:rPr>
                <w:rFonts w:asciiTheme="minorHAnsi" w:hAnsiTheme="minorHAnsi" w:cstheme="minorHAnsi"/>
              </w:rPr>
              <w:t>VET Student Loans</w:t>
            </w:r>
            <w:r w:rsidRPr="00736F23">
              <w:rPr>
                <w:rFonts w:asciiTheme="minorHAnsi" w:hAnsiTheme="minorHAnsi" w:cstheme="minorHAnsi"/>
              </w:rPr>
              <w:t>, including that:</w:t>
            </w:r>
          </w:p>
          <w:p w14:paraId="4052FAFF" w14:textId="77777777" w:rsidR="00983AE6" w:rsidRPr="00736F23" w:rsidRDefault="00983AE6" w:rsidP="00983AE6">
            <w:pPr>
              <w:pStyle w:val="Numpara4"/>
              <w:keepLines/>
              <w:numPr>
                <w:ilvl w:val="4"/>
                <w:numId w:val="17"/>
              </w:numPr>
              <w:tabs>
                <w:tab w:val="num" w:pos="1843"/>
              </w:tabs>
              <w:spacing w:before="0"/>
              <w:ind w:left="1168"/>
              <w:rPr>
                <w:rFonts w:asciiTheme="minorHAnsi" w:hAnsiTheme="minorHAnsi" w:cstheme="minorHAnsi"/>
              </w:rPr>
            </w:pPr>
            <w:r w:rsidRPr="00736F23">
              <w:rPr>
                <w:rFonts w:asciiTheme="minorHAnsi" w:hAnsiTheme="minorHAnsi" w:cstheme="minorHAnsi"/>
              </w:rPr>
              <w:t>it is a loan from the Commonwealth</w:t>
            </w:r>
            <w:r>
              <w:rPr>
                <w:rFonts w:asciiTheme="minorHAnsi" w:hAnsiTheme="minorHAnsi" w:cstheme="minorHAnsi"/>
              </w:rPr>
              <w:t>,</w:t>
            </w:r>
            <w:r w:rsidRPr="00736F23">
              <w:rPr>
                <w:rFonts w:asciiTheme="minorHAnsi" w:hAnsiTheme="minorHAnsi" w:cstheme="minorHAnsi"/>
              </w:rPr>
              <w:t xml:space="preserve"> and</w:t>
            </w:r>
          </w:p>
          <w:p w14:paraId="4A73D1B1" w14:textId="77777777" w:rsidR="00983AE6" w:rsidRPr="00736F23" w:rsidRDefault="00983AE6" w:rsidP="00983AE6">
            <w:pPr>
              <w:pStyle w:val="Numpara4"/>
              <w:keepLines/>
              <w:numPr>
                <w:ilvl w:val="4"/>
                <w:numId w:val="17"/>
              </w:numPr>
              <w:tabs>
                <w:tab w:val="num" w:pos="1843"/>
              </w:tabs>
              <w:spacing w:before="0"/>
              <w:ind w:left="1168"/>
              <w:rPr>
                <w:rFonts w:asciiTheme="minorHAnsi" w:hAnsiTheme="minorHAnsi" w:cstheme="minorHAnsi"/>
              </w:rPr>
            </w:pPr>
            <w:r w:rsidRPr="00736F23">
              <w:rPr>
                <w:rFonts w:asciiTheme="minorHAnsi" w:hAnsiTheme="minorHAnsi" w:cstheme="minorHAnsi"/>
              </w:rPr>
              <w:t>the loan will remain a personal debt until it is repaid to the Commonwealth</w:t>
            </w:r>
            <w:r>
              <w:rPr>
                <w:rFonts w:asciiTheme="minorHAnsi" w:hAnsiTheme="minorHAnsi" w:cstheme="minorHAnsi"/>
              </w:rPr>
              <w:t>,</w:t>
            </w:r>
            <w:r w:rsidRPr="00736F23">
              <w:rPr>
                <w:rFonts w:asciiTheme="minorHAnsi" w:hAnsiTheme="minorHAnsi" w:cstheme="minorHAnsi"/>
              </w:rPr>
              <w:t xml:space="preserve"> and</w:t>
            </w:r>
          </w:p>
          <w:p w14:paraId="584050F6" w14:textId="77777777" w:rsidR="00983AE6" w:rsidRPr="00736F23" w:rsidRDefault="00983AE6" w:rsidP="00983AE6">
            <w:pPr>
              <w:pStyle w:val="Numpara4"/>
              <w:keepLines/>
              <w:numPr>
                <w:ilvl w:val="4"/>
                <w:numId w:val="17"/>
              </w:numPr>
              <w:tabs>
                <w:tab w:val="num" w:pos="1843"/>
              </w:tabs>
              <w:spacing w:before="0"/>
              <w:ind w:left="1168"/>
              <w:rPr>
                <w:rFonts w:asciiTheme="minorHAnsi" w:hAnsiTheme="minorHAnsi" w:cstheme="minorHAnsi"/>
              </w:rPr>
            </w:pPr>
            <w:r w:rsidRPr="00736F23">
              <w:rPr>
                <w:rFonts w:asciiTheme="minorHAnsi" w:hAnsiTheme="minorHAnsi" w:cstheme="minorHAnsi"/>
              </w:rPr>
              <w:t>the loan may, until the debt is repaid, reduce a student’s take</w:t>
            </w:r>
            <w:r w:rsidRPr="00736F23">
              <w:rPr>
                <w:rFonts w:asciiTheme="minorHAnsi" w:hAnsiTheme="minorHAnsi" w:cstheme="minorHAnsi"/>
              </w:rPr>
              <w:noBreakHyphen/>
              <w:t>home (after</w:t>
            </w:r>
            <w:r w:rsidRPr="00736F23">
              <w:rPr>
                <w:rFonts w:asciiTheme="minorHAnsi" w:hAnsiTheme="minorHAnsi" w:cstheme="minorHAnsi"/>
              </w:rPr>
              <w:noBreakHyphen/>
              <w:t>tax) wage or salary and may reduce the student’s borrowing capacity</w:t>
            </w:r>
            <w:r>
              <w:rPr>
                <w:rFonts w:asciiTheme="minorHAnsi" w:hAnsiTheme="minorHAnsi" w:cstheme="minorHAnsi"/>
              </w:rPr>
              <w:t>,</w:t>
            </w:r>
            <w:r w:rsidRPr="00736F23">
              <w:rPr>
                <w:rFonts w:asciiTheme="minorHAnsi" w:hAnsiTheme="minorHAnsi" w:cstheme="minorHAnsi"/>
              </w:rPr>
              <w:t xml:space="preserve"> and</w:t>
            </w:r>
          </w:p>
          <w:p w14:paraId="366EC928" w14:textId="77777777" w:rsidR="00983AE6" w:rsidRPr="00736F23" w:rsidRDefault="00983AE6" w:rsidP="00983AE6">
            <w:pPr>
              <w:pStyle w:val="Numpara4"/>
              <w:keepLines/>
              <w:numPr>
                <w:ilvl w:val="4"/>
                <w:numId w:val="17"/>
              </w:numPr>
              <w:tabs>
                <w:tab w:val="num" w:pos="1843"/>
              </w:tabs>
              <w:spacing w:before="0"/>
              <w:ind w:left="1168"/>
              <w:rPr>
                <w:rFonts w:asciiTheme="minorHAnsi" w:hAnsiTheme="minorHAnsi" w:cstheme="minorHAnsi"/>
              </w:rPr>
            </w:pPr>
            <w:r w:rsidRPr="00736F23">
              <w:rPr>
                <w:rFonts w:asciiTheme="minorHAnsi" w:hAnsiTheme="minorHAnsi" w:cstheme="minorHAnsi"/>
              </w:rPr>
              <w:t>a student may wish to seek independent financial advice before applying for a loan.</w:t>
            </w:r>
          </w:p>
        </w:tc>
        <w:tc>
          <w:tcPr>
            <w:tcW w:w="1559" w:type="dxa"/>
            <w:shd w:val="clear" w:color="auto" w:fill="auto"/>
            <w:vAlign w:val="center"/>
          </w:tcPr>
          <w:p w14:paraId="5327CA90"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519E18B6" w14:textId="77777777" w:rsidTr="005F300B">
        <w:trPr>
          <w:cantSplit/>
        </w:trPr>
        <w:tc>
          <w:tcPr>
            <w:tcW w:w="7655" w:type="dxa"/>
            <w:shd w:val="clear" w:color="auto" w:fill="auto"/>
          </w:tcPr>
          <w:p w14:paraId="7467ACE8" w14:textId="16AE54BA" w:rsidR="00983AE6" w:rsidRPr="00757609" w:rsidRDefault="00983AE6" w:rsidP="00A0727A">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The criteria for being an eligible student for a VET student loan</w:t>
            </w:r>
            <w:r w:rsidR="00A0727A">
              <w:rPr>
                <w:rFonts w:asciiTheme="minorHAnsi" w:hAnsiTheme="minorHAnsi" w:cstheme="minorHAnsi"/>
              </w:rPr>
              <w:t xml:space="preserve"> (see sections </w:t>
            </w:r>
            <w:r>
              <w:rPr>
                <w:rFonts w:asciiTheme="minorHAnsi" w:hAnsiTheme="minorHAnsi" w:cstheme="minorHAnsi"/>
              </w:rPr>
              <w:t>9</w:t>
            </w:r>
            <w:r w:rsidR="00A0727A">
              <w:rPr>
                <w:rFonts w:asciiTheme="minorHAnsi" w:hAnsiTheme="minorHAnsi" w:cstheme="minorHAnsi"/>
              </w:rPr>
              <w:t> – </w:t>
            </w:r>
            <w:r>
              <w:rPr>
                <w:rFonts w:asciiTheme="minorHAnsi" w:hAnsiTheme="minorHAnsi" w:cstheme="minorHAnsi"/>
              </w:rPr>
              <w:t>12 of the Act)</w:t>
            </w:r>
          </w:p>
        </w:tc>
        <w:tc>
          <w:tcPr>
            <w:tcW w:w="1559" w:type="dxa"/>
            <w:shd w:val="clear" w:color="auto" w:fill="auto"/>
            <w:vAlign w:val="center"/>
          </w:tcPr>
          <w:p w14:paraId="48612390"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4AF36BB4" w14:textId="77777777" w:rsidTr="005F300B">
        <w:trPr>
          <w:cantSplit/>
        </w:trPr>
        <w:tc>
          <w:tcPr>
            <w:tcW w:w="7655" w:type="dxa"/>
            <w:shd w:val="clear" w:color="auto" w:fill="auto"/>
          </w:tcPr>
          <w:p w14:paraId="3926F04F" w14:textId="77777777" w:rsidR="00983AE6" w:rsidRPr="00736F23"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The application process for a VET student loan</w:t>
            </w:r>
            <w:r>
              <w:rPr>
                <w:rFonts w:asciiTheme="minorHAnsi" w:hAnsiTheme="minorHAnsi" w:cstheme="minorHAnsi"/>
              </w:rPr>
              <w:t xml:space="preserve"> (see section 17 of the Act)</w:t>
            </w:r>
          </w:p>
        </w:tc>
        <w:tc>
          <w:tcPr>
            <w:tcW w:w="1559" w:type="dxa"/>
            <w:shd w:val="clear" w:color="auto" w:fill="auto"/>
            <w:vAlign w:val="center"/>
          </w:tcPr>
          <w:p w14:paraId="25DDD9A6"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3442BF6A" w14:textId="77777777" w:rsidTr="005F300B">
        <w:trPr>
          <w:cantSplit/>
        </w:trPr>
        <w:tc>
          <w:tcPr>
            <w:tcW w:w="7655" w:type="dxa"/>
            <w:shd w:val="clear" w:color="auto" w:fill="auto"/>
          </w:tcPr>
          <w:p w14:paraId="7777AD48" w14:textId="77777777" w:rsidR="00983AE6" w:rsidRPr="006B56CA" w:rsidRDefault="00983AE6" w:rsidP="00983AE6">
            <w:pPr>
              <w:pStyle w:val="Numpara4"/>
              <w:keepLines/>
              <w:numPr>
                <w:ilvl w:val="0"/>
                <w:numId w:val="19"/>
              </w:numPr>
              <w:spacing w:before="0"/>
              <w:ind w:left="426"/>
              <w:rPr>
                <w:rFonts w:asciiTheme="minorHAnsi" w:hAnsiTheme="minorHAnsi" w:cstheme="minorHAnsi"/>
              </w:rPr>
            </w:pPr>
            <w:r w:rsidRPr="006B56CA">
              <w:rPr>
                <w:rFonts w:asciiTheme="minorHAnsi" w:hAnsiTheme="minorHAnsi" w:cstheme="minorHAnsi"/>
              </w:rPr>
              <w:t>An explanation that the student may be required during the course to communicate his or her agreement that the Secretary continue to use the VET student loan to pay tuition fees for the course</w:t>
            </w:r>
            <w:r>
              <w:rPr>
                <w:rFonts w:asciiTheme="minorHAnsi" w:hAnsiTheme="minorHAnsi" w:cstheme="minorHAnsi"/>
              </w:rPr>
              <w:t xml:space="preserve"> (student progression and engagement requirements)</w:t>
            </w:r>
          </w:p>
        </w:tc>
        <w:tc>
          <w:tcPr>
            <w:tcW w:w="1559" w:type="dxa"/>
            <w:shd w:val="clear" w:color="auto" w:fill="auto"/>
            <w:vAlign w:val="center"/>
          </w:tcPr>
          <w:p w14:paraId="453F9BA4"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52CC09E0" w14:textId="77777777" w:rsidTr="005F300B">
        <w:trPr>
          <w:cantSplit/>
        </w:trPr>
        <w:tc>
          <w:tcPr>
            <w:tcW w:w="7655" w:type="dxa"/>
            <w:shd w:val="clear" w:color="auto" w:fill="auto"/>
          </w:tcPr>
          <w:p w14:paraId="7FB6215E" w14:textId="77777777" w:rsidR="00983AE6" w:rsidRPr="00757609"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The maximum amount of a VET student loan that may be available for the course, and an explanation that the amount of the loan cannot be greater than the student’s remaining FEE</w:t>
            </w:r>
            <w:r w:rsidRPr="00736F23">
              <w:rPr>
                <w:rFonts w:asciiTheme="minorHAnsi" w:hAnsiTheme="minorHAnsi" w:cstheme="minorHAnsi"/>
              </w:rPr>
              <w:noBreakHyphen/>
              <w:t>HELP balance</w:t>
            </w:r>
          </w:p>
        </w:tc>
        <w:tc>
          <w:tcPr>
            <w:tcW w:w="1559" w:type="dxa"/>
            <w:shd w:val="clear" w:color="auto" w:fill="auto"/>
            <w:vAlign w:val="center"/>
          </w:tcPr>
          <w:p w14:paraId="092B0784"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658FB526" w14:textId="77777777" w:rsidTr="005F300B">
        <w:trPr>
          <w:cantSplit/>
        </w:trPr>
        <w:tc>
          <w:tcPr>
            <w:tcW w:w="7655" w:type="dxa"/>
            <w:shd w:val="clear" w:color="auto" w:fill="auto"/>
          </w:tcPr>
          <w:p w14:paraId="78A3B5AE" w14:textId="77777777" w:rsidR="00983AE6" w:rsidRPr="00757609"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The total VET student loan debt a student may incur if the student receives the maximum VET student loan</w:t>
            </w:r>
            <w:r>
              <w:rPr>
                <w:rFonts w:asciiTheme="minorHAnsi" w:hAnsiTheme="minorHAnsi" w:cstheme="minorHAnsi"/>
              </w:rPr>
              <w:t xml:space="preserve"> referred to </w:t>
            </w:r>
            <w:r w:rsidRPr="006003C3">
              <w:rPr>
                <w:rFonts w:asciiTheme="minorHAnsi" w:hAnsiTheme="minorHAnsi" w:cstheme="minorHAnsi"/>
              </w:rPr>
              <w:t>paragraph 9 above.</w:t>
            </w:r>
          </w:p>
        </w:tc>
        <w:tc>
          <w:tcPr>
            <w:tcW w:w="1559" w:type="dxa"/>
            <w:shd w:val="clear" w:color="auto" w:fill="auto"/>
            <w:vAlign w:val="center"/>
          </w:tcPr>
          <w:p w14:paraId="3B7DD636"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2725E04C" w14:textId="77777777" w:rsidTr="005F300B">
        <w:trPr>
          <w:cantSplit/>
        </w:trPr>
        <w:tc>
          <w:tcPr>
            <w:tcW w:w="7655" w:type="dxa"/>
            <w:shd w:val="clear" w:color="auto" w:fill="auto"/>
          </w:tcPr>
          <w:p w14:paraId="55256359" w14:textId="77777777" w:rsidR="00983AE6" w:rsidRPr="00757609"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An explanation that the tuition fees will be reasonably apportioned across a specified number of sequential fee periods and that each fee period will contain at least one census day</w:t>
            </w:r>
          </w:p>
        </w:tc>
        <w:tc>
          <w:tcPr>
            <w:tcW w:w="1559" w:type="dxa"/>
            <w:shd w:val="clear" w:color="auto" w:fill="auto"/>
            <w:vAlign w:val="center"/>
          </w:tcPr>
          <w:p w14:paraId="1661206E"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7014CD57" w14:textId="77777777" w:rsidTr="005F300B">
        <w:trPr>
          <w:cantSplit/>
        </w:trPr>
        <w:tc>
          <w:tcPr>
            <w:tcW w:w="7655" w:type="dxa"/>
            <w:shd w:val="clear" w:color="auto" w:fill="auto"/>
          </w:tcPr>
          <w:p w14:paraId="731A9042" w14:textId="77777777" w:rsidR="00983AE6" w:rsidRPr="00736F23"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lastRenderedPageBreak/>
              <w:t>Information about census days, including:</w:t>
            </w:r>
          </w:p>
          <w:p w14:paraId="5D1D2D36" w14:textId="77777777" w:rsidR="00983AE6" w:rsidRPr="00736F23" w:rsidRDefault="00983AE6" w:rsidP="00983AE6">
            <w:pPr>
              <w:pStyle w:val="Numpara4"/>
              <w:keepLines/>
              <w:numPr>
                <w:ilvl w:val="4"/>
                <w:numId w:val="18"/>
              </w:numPr>
              <w:tabs>
                <w:tab w:val="num" w:pos="567"/>
              </w:tabs>
              <w:spacing w:before="0"/>
              <w:ind w:left="851"/>
              <w:rPr>
                <w:rFonts w:asciiTheme="minorHAnsi" w:hAnsiTheme="minorHAnsi" w:cstheme="minorHAnsi"/>
              </w:rPr>
            </w:pPr>
            <w:r w:rsidRPr="00736F23">
              <w:rPr>
                <w:rFonts w:asciiTheme="minorHAnsi" w:hAnsiTheme="minorHAnsi" w:cstheme="minorHAnsi"/>
              </w:rPr>
              <w:t>the meaning of a census day</w:t>
            </w:r>
            <w:r>
              <w:rPr>
                <w:rFonts w:asciiTheme="minorHAnsi" w:hAnsiTheme="minorHAnsi" w:cstheme="minorHAnsi"/>
              </w:rPr>
              <w:t xml:space="preserve"> (see subsection 58(3) of the Act),</w:t>
            </w:r>
            <w:r w:rsidRPr="00736F23">
              <w:rPr>
                <w:rFonts w:asciiTheme="minorHAnsi" w:hAnsiTheme="minorHAnsi" w:cstheme="minorHAnsi"/>
              </w:rPr>
              <w:t xml:space="preserve"> and</w:t>
            </w:r>
          </w:p>
          <w:p w14:paraId="435C468F" w14:textId="77777777" w:rsidR="00983AE6" w:rsidRPr="00736F23" w:rsidRDefault="00983AE6" w:rsidP="00983AE6">
            <w:pPr>
              <w:pStyle w:val="Numpara4"/>
              <w:keepLines/>
              <w:numPr>
                <w:ilvl w:val="4"/>
                <w:numId w:val="18"/>
              </w:numPr>
              <w:tabs>
                <w:tab w:val="num" w:pos="567"/>
              </w:tabs>
              <w:spacing w:before="0"/>
              <w:ind w:left="567" w:hanging="283"/>
              <w:rPr>
                <w:rFonts w:asciiTheme="minorHAnsi" w:hAnsiTheme="minorHAnsi" w:cstheme="minorHAnsi"/>
              </w:rPr>
            </w:pPr>
            <w:r w:rsidRPr="00736F23">
              <w:rPr>
                <w:rFonts w:asciiTheme="minorHAnsi" w:hAnsiTheme="minorHAnsi" w:cstheme="minorHAnsi"/>
              </w:rPr>
              <w:t>that a student may cancel the student’s enrolment in the course or part of the course using the provider’s procedure for withdrawal</w:t>
            </w:r>
            <w:r>
              <w:rPr>
                <w:rFonts w:asciiTheme="minorHAnsi" w:hAnsiTheme="minorHAnsi" w:cstheme="minorHAnsi"/>
              </w:rPr>
              <w:t>,</w:t>
            </w:r>
            <w:r w:rsidRPr="00736F23">
              <w:rPr>
                <w:rFonts w:asciiTheme="minorHAnsi" w:hAnsiTheme="minorHAnsi" w:cstheme="minorHAnsi"/>
              </w:rPr>
              <w:t xml:space="preserve"> and</w:t>
            </w:r>
          </w:p>
          <w:p w14:paraId="460BC2E7" w14:textId="77777777" w:rsidR="00983AE6" w:rsidRPr="00AB7BDA" w:rsidRDefault="00983AE6" w:rsidP="00983AE6">
            <w:pPr>
              <w:pStyle w:val="Numpara4"/>
              <w:keepLines/>
              <w:numPr>
                <w:ilvl w:val="4"/>
                <w:numId w:val="18"/>
              </w:numPr>
              <w:tabs>
                <w:tab w:val="num" w:pos="567"/>
              </w:tabs>
              <w:spacing w:before="0"/>
              <w:ind w:left="567" w:hanging="283"/>
              <w:rPr>
                <w:rFonts w:asciiTheme="minorHAnsi" w:hAnsiTheme="minorHAnsi" w:cstheme="minorHAnsi"/>
              </w:rPr>
            </w:pPr>
            <w:r>
              <w:rPr>
                <w:rFonts w:asciiTheme="minorHAnsi" w:hAnsiTheme="minorHAnsi" w:cstheme="minorHAnsi"/>
              </w:rPr>
              <w:t xml:space="preserve"> </w:t>
            </w:r>
            <w:r w:rsidRPr="00736F23">
              <w:rPr>
                <w:rFonts w:asciiTheme="minorHAnsi" w:hAnsiTheme="minorHAnsi" w:cstheme="minorHAnsi"/>
              </w:rPr>
              <w:t>if a student withdraws before the census day for a course or part of a course, the student will not incur a VET student loan debt for the course or part of the course and will receive a refund for any tuition fees already paid for the course or part of the course</w:t>
            </w:r>
          </w:p>
        </w:tc>
        <w:tc>
          <w:tcPr>
            <w:tcW w:w="1559" w:type="dxa"/>
            <w:shd w:val="clear" w:color="auto" w:fill="auto"/>
            <w:vAlign w:val="center"/>
          </w:tcPr>
          <w:p w14:paraId="4C40E16C" w14:textId="77777777" w:rsidR="00983AE6" w:rsidRPr="00736F23" w:rsidRDefault="00C21A5E"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429B296A" w14:textId="77777777" w:rsidTr="005F300B">
        <w:trPr>
          <w:cantSplit/>
        </w:trPr>
        <w:tc>
          <w:tcPr>
            <w:tcW w:w="7655" w:type="dxa"/>
            <w:shd w:val="clear" w:color="auto" w:fill="auto"/>
          </w:tcPr>
          <w:p w14:paraId="69166C07" w14:textId="77777777" w:rsidR="00983AE6" w:rsidRPr="00AB7BDA" w:rsidRDefault="00983AE6" w:rsidP="00983AE6">
            <w:pPr>
              <w:pStyle w:val="Numpara4"/>
              <w:keepLines/>
              <w:numPr>
                <w:ilvl w:val="0"/>
                <w:numId w:val="19"/>
              </w:numPr>
              <w:spacing w:before="0"/>
              <w:ind w:left="426"/>
              <w:rPr>
                <w:rFonts w:asciiTheme="minorHAnsi" w:hAnsiTheme="minorHAnsi" w:cstheme="minorHAnsi"/>
              </w:rPr>
            </w:pPr>
            <w:r w:rsidRPr="00AB7BDA">
              <w:rPr>
                <w:rFonts w:asciiTheme="minorHAnsi" w:hAnsiTheme="minorHAnsi" w:cstheme="minorHAnsi"/>
              </w:rPr>
              <w:t xml:space="preserve">How to access the following on the approved </w:t>
            </w:r>
            <w:r>
              <w:rPr>
                <w:rFonts w:asciiTheme="minorHAnsi" w:hAnsiTheme="minorHAnsi" w:cstheme="minorHAnsi"/>
              </w:rPr>
              <w:t xml:space="preserve">course </w:t>
            </w:r>
            <w:r w:rsidRPr="00AB7BDA">
              <w:rPr>
                <w:rFonts w:asciiTheme="minorHAnsi" w:hAnsiTheme="minorHAnsi" w:cstheme="minorHAnsi"/>
              </w:rPr>
              <w:t>provider’s website:</w:t>
            </w:r>
          </w:p>
          <w:p w14:paraId="1C3B3843" w14:textId="77777777" w:rsidR="00983AE6" w:rsidRPr="00736F23" w:rsidRDefault="00983AE6" w:rsidP="00983AE6">
            <w:pPr>
              <w:pStyle w:val="Numpara4"/>
              <w:keepLines/>
              <w:numPr>
                <w:ilvl w:val="4"/>
                <w:numId w:val="22"/>
              </w:numPr>
              <w:tabs>
                <w:tab w:val="num" w:pos="885"/>
              </w:tabs>
              <w:spacing w:before="0"/>
              <w:ind w:left="885"/>
              <w:rPr>
                <w:rFonts w:asciiTheme="minorHAnsi" w:hAnsiTheme="minorHAnsi" w:cstheme="minorHAnsi"/>
              </w:rPr>
            </w:pPr>
            <w:r w:rsidRPr="00736F23">
              <w:rPr>
                <w:rFonts w:asciiTheme="minorHAnsi" w:hAnsiTheme="minorHAnsi" w:cstheme="minorHAnsi"/>
              </w:rPr>
              <w:t>the tuition fees for the course</w:t>
            </w:r>
          </w:p>
          <w:p w14:paraId="26EA3583" w14:textId="77777777" w:rsidR="00983AE6" w:rsidRPr="00736F23" w:rsidRDefault="00983AE6" w:rsidP="00983AE6">
            <w:pPr>
              <w:pStyle w:val="Numpara4"/>
              <w:keepLines/>
              <w:numPr>
                <w:ilvl w:val="4"/>
                <w:numId w:val="6"/>
              </w:numPr>
              <w:tabs>
                <w:tab w:val="num" w:pos="426"/>
              </w:tabs>
              <w:spacing w:before="0"/>
              <w:ind w:left="851"/>
              <w:rPr>
                <w:rFonts w:asciiTheme="minorHAnsi" w:hAnsiTheme="minorHAnsi" w:cstheme="minorHAnsi"/>
              </w:rPr>
            </w:pPr>
            <w:r w:rsidRPr="00736F23">
              <w:rPr>
                <w:rFonts w:asciiTheme="minorHAnsi" w:hAnsiTheme="minorHAnsi" w:cstheme="minorHAnsi"/>
              </w:rPr>
              <w:t>the census days for the course</w:t>
            </w:r>
          </w:p>
          <w:p w14:paraId="0213ADE6" w14:textId="77777777" w:rsidR="00983AE6" w:rsidRPr="00736F23" w:rsidRDefault="00983AE6" w:rsidP="00983AE6">
            <w:pPr>
              <w:pStyle w:val="Numpara4"/>
              <w:keepLines/>
              <w:numPr>
                <w:ilvl w:val="4"/>
                <w:numId w:val="6"/>
              </w:numPr>
              <w:tabs>
                <w:tab w:val="num" w:pos="426"/>
              </w:tabs>
              <w:spacing w:before="0"/>
              <w:ind w:left="851"/>
              <w:rPr>
                <w:rFonts w:asciiTheme="minorHAnsi" w:hAnsiTheme="minorHAnsi" w:cstheme="minorHAnsi"/>
              </w:rPr>
            </w:pPr>
            <w:r w:rsidRPr="00736F23">
              <w:rPr>
                <w:rFonts w:asciiTheme="minorHAnsi" w:hAnsiTheme="minorHAnsi" w:cstheme="minorHAnsi"/>
              </w:rPr>
              <w:t>the provider’s procedures for withdrawal from the course and cancellation of enrolment</w:t>
            </w:r>
          </w:p>
          <w:p w14:paraId="4802F2B9" w14:textId="77777777" w:rsidR="00983AE6" w:rsidRPr="00AB7BDA" w:rsidRDefault="00983AE6" w:rsidP="00983AE6">
            <w:pPr>
              <w:pStyle w:val="Numpara4"/>
              <w:keepLines/>
              <w:numPr>
                <w:ilvl w:val="4"/>
                <w:numId w:val="6"/>
              </w:numPr>
              <w:tabs>
                <w:tab w:val="num" w:pos="426"/>
              </w:tabs>
              <w:spacing w:before="0"/>
              <w:ind w:left="851"/>
              <w:rPr>
                <w:rFonts w:asciiTheme="minorHAnsi" w:hAnsiTheme="minorHAnsi" w:cstheme="minorHAnsi"/>
              </w:rPr>
            </w:pPr>
            <w:r w:rsidRPr="00736F23">
              <w:rPr>
                <w:rFonts w:asciiTheme="minorHAnsi" w:hAnsiTheme="minorHAnsi" w:cstheme="minorHAnsi"/>
              </w:rPr>
              <w:t xml:space="preserve">other procedures the provider is required to have </w:t>
            </w:r>
            <w:r>
              <w:rPr>
                <w:rFonts w:asciiTheme="minorHAnsi" w:hAnsiTheme="minorHAnsi" w:cstheme="minorHAnsi"/>
              </w:rPr>
              <w:t>under the Rules</w:t>
            </w:r>
          </w:p>
        </w:tc>
        <w:tc>
          <w:tcPr>
            <w:tcW w:w="1559" w:type="dxa"/>
            <w:shd w:val="clear" w:color="auto" w:fill="auto"/>
            <w:vAlign w:val="center"/>
          </w:tcPr>
          <w:p w14:paraId="34267675" w14:textId="77777777" w:rsidR="00983AE6" w:rsidRPr="00736F23" w:rsidRDefault="00C21A5E" w:rsidP="005F300B">
            <w:pPr>
              <w:pStyle w:val="Numpara4"/>
              <w:numPr>
                <w:ilvl w:val="0"/>
                <w:numId w:val="0"/>
              </w:numPr>
              <w:spacing w:before="0"/>
              <w:ind w:left="34"/>
              <w:jc w:val="center"/>
              <w:rPr>
                <w:rFonts w:asciiTheme="minorHAnsi" w:hAnsiTheme="minorHAnsi" w:cstheme="minorHAnsi"/>
              </w:rPr>
            </w:pPr>
            <w:r>
              <w:rPr>
                <w:rFonts w:ascii="MS Gothic" w:eastAsia="MS Gothic" w:hAnsi="MS Gothic" w:hint="eastAsia"/>
                <w:sz w:val="32"/>
                <w:szCs w:val="32"/>
              </w:rPr>
              <w:t>☐</w:t>
            </w:r>
          </w:p>
        </w:tc>
      </w:tr>
      <w:tr w:rsidR="00983AE6" w:rsidRPr="00736F23" w14:paraId="24CA5F46" w14:textId="77777777" w:rsidTr="005F300B">
        <w:trPr>
          <w:cantSplit/>
        </w:trPr>
        <w:tc>
          <w:tcPr>
            <w:tcW w:w="7655" w:type="dxa"/>
            <w:shd w:val="clear" w:color="auto" w:fill="auto"/>
          </w:tcPr>
          <w:p w14:paraId="5590A937" w14:textId="77777777" w:rsidR="00983AE6" w:rsidRPr="00AB7BDA" w:rsidRDefault="00983AE6" w:rsidP="00983AE6">
            <w:pPr>
              <w:pStyle w:val="Numpara4"/>
              <w:keepLines/>
              <w:numPr>
                <w:ilvl w:val="0"/>
                <w:numId w:val="19"/>
              </w:numPr>
              <w:spacing w:before="0"/>
              <w:ind w:left="426"/>
              <w:rPr>
                <w:rFonts w:asciiTheme="minorHAnsi" w:hAnsiTheme="minorHAnsi" w:cstheme="minorHAnsi"/>
              </w:rPr>
            </w:pPr>
            <w:r w:rsidRPr="00736F23">
              <w:rPr>
                <w:rFonts w:asciiTheme="minorHAnsi" w:hAnsiTheme="minorHAnsi" w:cstheme="minorHAnsi"/>
              </w:rPr>
              <w:t>Advice that it is important for an enrolled student to notify the provider of any change of contact details</w:t>
            </w:r>
          </w:p>
        </w:tc>
        <w:tc>
          <w:tcPr>
            <w:tcW w:w="1559" w:type="dxa"/>
            <w:shd w:val="clear" w:color="auto" w:fill="auto"/>
            <w:vAlign w:val="center"/>
          </w:tcPr>
          <w:p w14:paraId="29B8776D" w14:textId="77777777" w:rsidR="00983AE6" w:rsidRPr="00736F23" w:rsidRDefault="007228C7" w:rsidP="005F300B">
            <w:pPr>
              <w:pStyle w:val="Numpara4"/>
              <w:numPr>
                <w:ilvl w:val="0"/>
                <w:numId w:val="0"/>
              </w:numPr>
              <w:spacing w:before="0"/>
              <w:jc w:val="center"/>
              <w:rPr>
                <w:rFonts w:asciiTheme="minorHAnsi" w:hAnsiTheme="minorHAnsi" w:cstheme="minorHAnsi"/>
              </w:rPr>
            </w:pPr>
            <w:r>
              <w:rPr>
                <w:rFonts w:ascii="MS Gothic" w:eastAsia="MS Gothic" w:hAnsi="MS Gothic" w:hint="eastAsia"/>
                <w:sz w:val="32"/>
                <w:szCs w:val="32"/>
              </w:rPr>
              <w:t>☐</w:t>
            </w:r>
          </w:p>
        </w:tc>
      </w:tr>
      <w:tr w:rsidR="00983AE6" w:rsidRPr="00736F23" w14:paraId="402E2194" w14:textId="77777777" w:rsidTr="005F300B">
        <w:trPr>
          <w:cantSplit/>
        </w:trPr>
        <w:tc>
          <w:tcPr>
            <w:tcW w:w="7655" w:type="dxa"/>
            <w:shd w:val="clear" w:color="auto" w:fill="auto"/>
          </w:tcPr>
          <w:p w14:paraId="02B5CFA2" w14:textId="77777777" w:rsidR="00983AE6" w:rsidRPr="00B45D79" w:rsidRDefault="00983AE6" w:rsidP="00983AE6">
            <w:pPr>
              <w:pStyle w:val="Numpara4"/>
              <w:keepLines/>
              <w:numPr>
                <w:ilvl w:val="0"/>
                <w:numId w:val="19"/>
              </w:numPr>
              <w:spacing w:before="0"/>
              <w:ind w:left="426"/>
              <w:rPr>
                <w:rFonts w:asciiTheme="minorHAnsi" w:hAnsiTheme="minorHAnsi" w:cstheme="minorHAnsi"/>
              </w:rPr>
            </w:pPr>
            <w:r>
              <w:rPr>
                <w:rFonts w:asciiTheme="minorHAnsi" w:hAnsiTheme="minorHAnsi" w:cstheme="minorHAnsi"/>
              </w:rPr>
              <w:t xml:space="preserve">Advice that </w:t>
            </w:r>
            <w:r w:rsidRPr="00A23940">
              <w:rPr>
                <w:rFonts w:asciiTheme="minorHAnsi" w:hAnsiTheme="minorHAnsi" w:cstheme="minorHAnsi"/>
              </w:rPr>
              <w:t xml:space="preserve">the </w:t>
            </w:r>
            <w:r>
              <w:rPr>
                <w:rFonts w:asciiTheme="minorHAnsi" w:hAnsiTheme="minorHAnsi" w:cstheme="minorHAnsi"/>
              </w:rPr>
              <w:t>d</w:t>
            </w:r>
            <w:r w:rsidRPr="00A23940">
              <w:rPr>
                <w:rFonts w:asciiTheme="minorHAnsi" w:hAnsiTheme="minorHAnsi" w:cstheme="minorHAnsi"/>
              </w:rPr>
              <w:t xml:space="preserve">epartment </w:t>
            </w:r>
            <w:r>
              <w:rPr>
                <w:rFonts w:asciiTheme="minorHAnsi" w:hAnsiTheme="minorHAnsi" w:cstheme="minorHAnsi"/>
              </w:rPr>
              <w:t>will</w:t>
            </w:r>
            <w:r w:rsidRPr="00A23940">
              <w:rPr>
                <w:rFonts w:asciiTheme="minorHAnsi" w:hAnsiTheme="minorHAnsi" w:cstheme="minorHAnsi"/>
              </w:rPr>
              <w:t xml:space="preserve"> contact the student to verify the st</w:t>
            </w:r>
            <w:r>
              <w:rPr>
                <w:rFonts w:asciiTheme="minorHAnsi" w:hAnsiTheme="minorHAnsi" w:cstheme="minorHAnsi"/>
              </w:rPr>
              <w:t xml:space="preserve">udent’s enrolment in the course </w:t>
            </w:r>
          </w:p>
        </w:tc>
        <w:tc>
          <w:tcPr>
            <w:tcW w:w="1559" w:type="dxa"/>
            <w:shd w:val="clear" w:color="auto" w:fill="auto"/>
            <w:vAlign w:val="center"/>
          </w:tcPr>
          <w:p w14:paraId="13EB2D1B" w14:textId="77777777" w:rsidR="00983AE6" w:rsidRDefault="00C21A5E" w:rsidP="005F300B">
            <w:pPr>
              <w:pStyle w:val="Numpara4"/>
              <w:numPr>
                <w:ilvl w:val="0"/>
                <w:numId w:val="0"/>
              </w:numPr>
              <w:spacing w:before="0"/>
              <w:jc w:val="center"/>
              <w:rPr>
                <w:sz w:val="32"/>
                <w:szCs w:val="32"/>
              </w:rPr>
            </w:pPr>
            <w:r>
              <w:rPr>
                <w:rFonts w:ascii="MS Gothic" w:eastAsia="MS Gothic" w:hAnsi="MS Gothic" w:hint="eastAsia"/>
                <w:sz w:val="32"/>
                <w:szCs w:val="32"/>
              </w:rPr>
              <w:t>☐</w:t>
            </w:r>
          </w:p>
        </w:tc>
      </w:tr>
    </w:tbl>
    <w:p w14:paraId="44CB0128" w14:textId="77777777" w:rsidR="00983AE6" w:rsidRPr="00736F23" w:rsidRDefault="00983AE6" w:rsidP="00983AE6">
      <w:pPr>
        <w:spacing w:after="0"/>
        <w:rPr>
          <w:rFonts w:cstheme="minorHAnsi"/>
          <w:sz w:val="20"/>
          <w:szCs w:val="20"/>
        </w:rPr>
        <w:sectPr w:rsidR="00983AE6" w:rsidRPr="00736F23" w:rsidSect="00DA16F7">
          <w:footerReference w:type="default" r:id="rId122"/>
          <w:footerReference w:type="first" r:id="rId123"/>
          <w:pgSz w:w="11906" w:h="16838" w:code="9"/>
          <w:pgMar w:top="1440" w:right="1276" w:bottom="1276" w:left="1440" w:header="567" w:footer="567" w:gutter="0"/>
          <w:cols w:space="708"/>
          <w:titlePg/>
          <w:docGrid w:linePitch="360"/>
        </w:sectPr>
      </w:pPr>
      <w:r w:rsidRPr="00736F23">
        <w:rPr>
          <w:rFonts w:cstheme="minorHAnsi"/>
          <w:sz w:val="20"/>
          <w:szCs w:val="20"/>
        </w:rPr>
        <w:br w:type="page"/>
      </w:r>
    </w:p>
    <w:p w14:paraId="3AF845EE" w14:textId="77777777" w:rsidR="00983AE6" w:rsidRPr="004E2075" w:rsidRDefault="00983AE6" w:rsidP="009B6106">
      <w:pPr>
        <w:pStyle w:val="Heading2"/>
      </w:pPr>
      <w:bookmarkStart w:id="4833" w:name="_Appendix_D_–"/>
      <w:bookmarkStart w:id="4834" w:name="_Toc477960073"/>
      <w:bookmarkStart w:id="4835" w:name="_Toc483222963"/>
      <w:bookmarkStart w:id="4836" w:name="_Toc501621275"/>
      <w:bookmarkEnd w:id="4833"/>
      <w:r w:rsidRPr="00736F23">
        <w:lastRenderedPageBreak/>
        <w:t xml:space="preserve">Appendix </w:t>
      </w:r>
      <w:r>
        <w:t>C</w:t>
      </w:r>
      <w:r w:rsidRPr="00736F23">
        <w:t xml:space="preserve"> – Sample </w:t>
      </w:r>
      <w:r>
        <w:t>–</w:t>
      </w:r>
      <w:bookmarkEnd w:id="4834"/>
      <w:r w:rsidRPr="00736F23">
        <w:t xml:space="preserve"> </w:t>
      </w:r>
      <w:bookmarkStart w:id="4837" w:name="_Toc477960074"/>
      <w:r>
        <w:t>VET Student Loan Statement of covered fees and Fee Notice</w:t>
      </w:r>
      <w:bookmarkEnd w:id="4835"/>
      <w:bookmarkEnd w:id="4836"/>
      <w:bookmarkEnd w:id="4837"/>
    </w:p>
    <w:tbl>
      <w:tblPr>
        <w:tblStyle w:val="TableGrid"/>
        <w:tblW w:w="0" w:type="auto"/>
        <w:tblInd w:w="-601" w:type="dxa"/>
        <w:tblLook w:val="04A0" w:firstRow="1" w:lastRow="0" w:firstColumn="1" w:lastColumn="0" w:noHBand="0" w:noVBand="1"/>
        <w:tblCaption w:val="sample of a VET Student Loan Statement of Covered Fees and VET Student Loan Fee Notic"/>
        <w:tblDescription w:val="Note: This is a sample of a VET Student Loan Statement of Covered Fees and VET Student Loan Fee Notice. Providers are responsible for ensuring that their VET Student Loan Statement of Covered Fees meets the requirements of section 56 of the Act and section 129 of the Rules and the VET Student Loan Fee Invoice meets the section 99 of the Rules. The VET Student Loan Statement of Covered Fees may be given to the student along with the VET Student Loan Fee Notice for the first fee period of the course."/>
      </w:tblPr>
      <w:tblGrid>
        <w:gridCol w:w="15701"/>
      </w:tblGrid>
      <w:tr w:rsidR="00983AE6" w:rsidRPr="00EE777E" w14:paraId="41C8014D" w14:textId="77777777" w:rsidTr="00B9688F">
        <w:tc>
          <w:tcPr>
            <w:tcW w:w="15701" w:type="dxa"/>
            <w:shd w:val="clear" w:color="auto" w:fill="FDE9D9" w:themeFill="accent6" w:themeFillTint="33"/>
          </w:tcPr>
          <w:p w14:paraId="619F929A" w14:textId="77777777" w:rsidR="00983AE6" w:rsidRPr="00EE777E" w:rsidRDefault="00983AE6" w:rsidP="005F300B">
            <w:pPr>
              <w:rPr>
                <w:rFonts w:cstheme="minorHAnsi"/>
                <w:b/>
              </w:rPr>
            </w:pPr>
            <w:r w:rsidRPr="00B9688F">
              <w:rPr>
                <w:rFonts w:cstheme="minorHAnsi"/>
                <w:b/>
                <w:sz w:val="20"/>
                <w:szCs w:val="18"/>
              </w:rPr>
              <w:t>Note: This is a sample of a VET Student Loan Statement of Covered Fees and VET Student Loan Fee Notice. Providers are responsible for ensuring that their VET Student Loan Statement of Covered Fees meets the requirements of section 56 of the Act and section 129 of the Rules and the VET Student Loan Fee Invoice meets the section 99 of the Rules. The VET Student Loan Statement of Covered Fees may be given to the student along with the VET Student Loan Fee Notice for the first fee period of the course.</w:t>
            </w:r>
          </w:p>
        </w:tc>
      </w:tr>
    </w:tbl>
    <w:p w14:paraId="30E6BB45" w14:textId="77777777" w:rsidR="00983AE6" w:rsidRPr="00EE777E" w:rsidRDefault="00983AE6" w:rsidP="00983AE6">
      <w:pPr>
        <w:jc w:val="center"/>
        <w:rPr>
          <w:rFonts w:cstheme="minorHAnsi"/>
          <w:b/>
        </w:rPr>
      </w:pPr>
      <w:r w:rsidRPr="00EE777E">
        <w:rPr>
          <w:rFonts w:cstheme="minorHAnsi"/>
          <w:b/>
          <w:noProof/>
          <w:sz w:val="18"/>
          <w:szCs w:val="18"/>
          <w:lang w:eastAsia="en-AU"/>
        </w:rPr>
        <mc:AlternateContent>
          <mc:Choice Requires="wps">
            <w:drawing>
              <wp:anchor distT="0" distB="0" distL="114300" distR="114300" simplePos="0" relativeHeight="251655168" behindDoc="0" locked="0" layoutInCell="1" allowOverlap="1" wp14:anchorId="23A98A36" wp14:editId="22D52892">
                <wp:simplePos x="0" y="0"/>
                <wp:positionH relativeFrom="column">
                  <wp:posOffset>6696075</wp:posOffset>
                </wp:positionH>
                <wp:positionV relativeFrom="paragraph">
                  <wp:posOffset>196479</wp:posOffset>
                </wp:positionV>
                <wp:extent cx="1325245" cy="829310"/>
                <wp:effectExtent l="0" t="0" r="8255" b="8890"/>
                <wp:wrapNone/>
                <wp:docPr id="10" name="Oval 10" descr="ABC Training" title="ABC Training"/>
                <wp:cNvGraphicFramePr/>
                <a:graphic xmlns:a="http://schemas.openxmlformats.org/drawingml/2006/main">
                  <a:graphicData uri="http://schemas.microsoft.com/office/word/2010/wordprocessingShape">
                    <wps:wsp>
                      <wps:cNvSpPr/>
                      <wps:spPr>
                        <a:xfrm>
                          <a:off x="0" y="0"/>
                          <a:ext cx="1325245" cy="829310"/>
                        </a:xfrm>
                        <a:prstGeom prst="ellipse">
                          <a:avLst/>
                        </a:prstGeom>
                        <a:solidFill>
                          <a:srgbClr val="2420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623AC" w14:textId="77777777" w:rsidR="0012240F" w:rsidRPr="00736169" w:rsidRDefault="0012240F" w:rsidP="00983AE6">
                            <w:pPr>
                              <w:jc w:val="center"/>
                              <w:rPr>
                                <w:b/>
                                <w:color w:val="EEECE1" w:themeColor="background2"/>
                              </w:rPr>
                            </w:pPr>
                            <w:r w:rsidRPr="00736169">
                              <w:rPr>
                                <w:b/>
                                <w:color w:val="EEECE1" w:themeColor="background2"/>
                              </w:rPr>
                              <w:t>ABC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A98A36" id="Oval 10" o:spid="_x0000_s1026" alt="Title: ABC Training - Description: ABC Training" style="position:absolute;left:0;text-align:left;margin-left:527.25pt;margin-top:15.45pt;width:104.35pt;height:65.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" fillcolor="#24206b" stroked="f" strokeweight="2pt">
                <v:textbox>
                  <w:txbxContent>
                    <w:p w14:paraId="34A623AC" w14:textId="77777777" w:rsidR="0012240F" w:rsidRPr="00736169" w:rsidRDefault="0012240F" w:rsidP="00983AE6">
                      <w:pPr>
                        <w:jc w:val="center"/>
                        <w:rPr>
                          <w:b/>
                          <w:color w:val="EEECE1" w:themeColor="background2"/>
                        </w:rPr>
                      </w:pPr>
                      <w:r w:rsidRPr="00736169">
                        <w:rPr>
                          <w:b/>
                          <w:color w:val="EEECE1" w:themeColor="background2"/>
                        </w:rPr>
                        <w:t>ABC Training</w:t>
                      </w:r>
                    </w:p>
                  </w:txbxContent>
                </v:textbox>
              </v:oval>
            </w:pict>
          </mc:Fallback>
        </mc:AlternateContent>
      </w:r>
      <w:r w:rsidRPr="00EE777E">
        <w:rPr>
          <w:rFonts w:cstheme="minorHAnsi"/>
          <w:b/>
        </w:rPr>
        <w:t xml:space="preserve">VET Student Loan </w:t>
      </w:r>
      <w:r w:rsidRPr="00EE777E">
        <w:rPr>
          <w:rFonts w:cstheme="minorHAnsi"/>
          <w:b/>
          <w:sz w:val="24"/>
        </w:rPr>
        <w:t>Statement</w:t>
      </w:r>
      <w:r w:rsidRPr="00EE777E">
        <w:rPr>
          <w:rFonts w:cstheme="minorHAnsi"/>
          <w:b/>
        </w:rPr>
        <w:t xml:space="preserve"> of Covered Fees and VET Student Loan Fee Notice</w:t>
      </w:r>
    </w:p>
    <w:tbl>
      <w:tblPr>
        <w:tblStyle w:val="TableGrid"/>
        <w:tblW w:w="0" w:type="auto"/>
        <w:tblInd w:w="-601" w:type="dxa"/>
        <w:shd w:val="clear" w:color="auto" w:fill="FFFFFF" w:themeFill="background1" w:themeFillTint="33"/>
        <w:tblLook w:val="04A0" w:firstRow="1" w:lastRow="0" w:firstColumn="1" w:lastColumn="0" w:noHBand="0" w:noVBand="1"/>
        <w:tblCaption w:val="Sample – VET Student Loan Statement of covered fees and Fee Notice"/>
        <w:tblDescription w:val="Sample – VET Student Loan Statement of covered fees and Fee Notice"/>
      </w:tblPr>
      <w:tblGrid>
        <w:gridCol w:w="3686"/>
        <w:gridCol w:w="1701"/>
      </w:tblGrid>
      <w:tr w:rsidR="00983AE6" w:rsidRPr="00EE777E" w14:paraId="48B250A8" w14:textId="77777777" w:rsidTr="005F300B">
        <w:trPr>
          <w:trHeight w:val="286"/>
        </w:trPr>
        <w:tc>
          <w:tcPr>
            <w:tcW w:w="3686" w:type="dxa"/>
            <w:shd w:val="clear" w:color="auto" w:fill="FFFFFF" w:themeFill="background1" w:themeFillTint="33"/>
            <w:vAlign w:val="center"/>
          </w:tcPr>
          <w:p w14:paraId="1EAB06CF" w14:textId="77777777" w:rsidR="00983AE6" w:rsidRPr="00EE777E" w:rsidRDefault="00983AE6" w:rsidP="005F300B">
            <w:pPr>
              <w:rPr>
                <w:rFonts w:cstheme="minorHAnsi"/>
                <w:sz w:val="18"/>
                <w:szCs w:val="18"/>
              </w:rPr>
            </w:pPr>
            <w:r w:rsidRPr="00EE777E">
              <w:rPr>
                <w:rFonts w:cstheme="minorHAnsi"/>
                <w:sz w:val="18"/>
                <w:szCs w:val="18"/>
              </w:rPr>
              <w:t>Date of Notice</w:t>
            </w:r>
          </w:p>
        </w:tc>
        <w:tc>
          <w:tcPr>
            <w:tcW w:w="1701" w:type="dxa"/>
            <w:shd w:val="clear" w:color="auto" w:fill="FFFFFF" w:themeFill="background1" w:themeFillTint="33"/>
            <w:vAlign w:val="center"/>
          </w:tcPr>
          <w:p w14:paraId="2230E448" w14:textId="77777777" w:rsidR="00983AE6" w:rsidRPr="00EE777E" w:rsidRDefault="00983AE6" w:rsidP="005F300B">
            <w:pPr>
              <w:rPr>
                <w:rFonts w:cstheme="minorHAnsi"/>
                <w:sz w:val="18"/>
                <w:szCs w:val="18"/>
              </w:rPr>
            </w:pPr>
            <w:r w:rsidRPr="00EE777E">
              <w:rPr>
                <w:rFonts w:cstheme="minorHAnsi"/>
                <w:sz w:val="18"/>
                <w:szCs w:val="18"/>
              </w:rPr>
              <w:t>27 March 2017</w:t>
            </w:r>
          </w:p>
        </w:tc>
      </w:tr>
    </w:tbl>
    <w:p w14:paraId="7BCD2734" w14:textId="77777777" w:rsidR="00983AE6" w:rsidRPr="00EE777E" w:rsidRDefault="00983AE6" w:rsidP="00983AE6">
      <w:pPr>
        <w:rPr>
          <w:rFonts w:cstheme="minorHAnsi"/>
          <w:sz w:val="2"/>
          <w:szCs w:val="2"/>
        </w:rPr>
      </w:pPr>
    </w:p>
    <w:tbl>
      <w:tblPr>
        <w:tblStyle w:val="TableGrid"/>
        <w:tblpPr w:leftFromText="180" w:rightFromText="180" w:vertAnchor="text" w:tblpX="-601" w:tblpY="1"/>
        <w:tblOverlap w:val="never"/>
        <w:tblW w:w="0" w:type="auto"/>
        <w:shd w:val="clear" w:color="auto" w:fill="FFFFFF" w:themeFill="background1" w:themeFillTint="33"/>
        <w:tblLook w:val="04A0" w:firstRow="1" w:lastRow="0" w:firstColumn="1" w:lastColumn="0" w:noHBand="0" w:noVBand="1"/>
        <w:tblCaption w:val="Sample – VET Student Loan Statement of covered fees and Fee Notice"/>
        <w:tblDescription w:val="Sample – VET Student Loan Statement of covered fees and Fee Notice"/>
      </w:tblPr>
      <w:tblGrid>
        <w:gridCol w:w="3652"/>
        <w:gridCol w:w="5103"/>
      </w:tblGrid>
      <w:tr w:rsidR="00983AE6" w:rsidRPr="00EE777E" w14:paraId="17D63229" w14:textId="77777777" w:rsidTr="005F300B">
        <w:trPr>
          <w:trHeight w:val="249"/>
        </w:trPr>
        <w:tc>
          <w:tcPr>
            <w:tcW w:w="3652" w:type="dxa"/>
            <w:shd w:val="clear" w:color="auto" w:fill="FFFFFF" w:themeFill="background1" w:themeFillTint="33"/>
            <w:vAlign w:val="center"/>
          </w:tcPr>
          <w:p w14:paraId="0865DE7F" w14:textId="77777777" w:rsidR="00983AE6" w:rsidRPr="00EE777E" w:rsidRDefault="00983AE6" w:rsidP="005F300B">
            <w:pPr>
              <w:rPr>
                <w:rFonts w:cstheme="minorHAnsi"/>
                <w:sz w:val="18"/>
                <w:szCs w:val="18"/>
              </w:rPr>
            </w:pPr>
            <w:r w:rsidRPr="00EE777E">
              <w:rPr>
                <w:rFonts w:cstheme="minorHAnsi"/>
                <w:sz w:val="18"/>
                <w:szCs w:val="18"/>
              </w:rPr>
              <w:t>Student name</w:t>
            </w:r>
          </w:p>
        </w:tc>
        <w:tc>
          <w:tcPr>
            <w:tcW w:w="5103" w:type="dxa"/>
            <w:shd w:val="clear" w:color="auto" w:fill="FFFFFF" w:themeFill="background1" w:themeFillTint="33"/>
            <w:vAlign w:val="center"/>
          </w:tcPr>
          <w:p w14:paraId="47155121" w14:textId="77777777" w:rsidR="00983AE6" w:rsidRPr="00EE777E" w:rsidRDefault="00983AE6" w:rsidP="005F300B">
            <w:pPr>
              <w:rPr>
                <w:rFonts w:cstheme="minorHAnsi"/>
                <w:sz w:val="18"/>
                <w:szCs w:val="18"/>
              </w:rPr>
            </w:pPr>
            <w:r w:rsidRPr="00EE777E">
              <w:rPr>
                <w:rFonts w:cstheme="minorHAnsi"/>
                <w:sz w:val="18"/>
                <w:szCs w:val="18"/>
              </w:rPr>
              <w:t>FIRST NAME(S) SURNAME</w:t>
            </w:r>
          </w:p>
        </w:tc>
      </w:tr>
      <w:tr w:rsidR="00983AE6" w:rsidRPr="00EE777E" w14:paraId="4AF615B2" w14:textId="77777777" w:rsidTr="005F300B">
        <w:trPr>
          <w:trHeight w:val="249"/>
        </w:trPr>
        <w:tc>
          <w:tcPr>
            <w:tcW w:w="3652" w:type="dxa"/>
            <w:shd w:val="clear" w:color="auto" w:fill="FFFFFF" w:themeFill="background1" w:themeFillTint="33"/>
            <w:vAlign w:val="center"/>
          </w:tcPr>
          <w:p w14:paraId="0F4F1A33" w14:textId="77777777" w:rsidR="00983AE6" w:rsidRPr="00EE777E" w:rsidRDefault="00983AE6" w:rsidP="005F300B">
            <w:pPr>
              <w:rPr>
                <w:rFonts w:cstheme="minorHAnsi"/>
                <w:sz w:val="18"/>
                <w:szCs w:val="18"/>
              </w:rPr>
            </w:pPr>
            <w:r w:rsidRPr="00EE777E">
              <w:rPr>
                <w:rFonts w:cstheme="minorHAnsi"/>
                <w:sz w:val="18"/>
                <w:szCs w:val="18"/>
              </w:rPr>
              <w:t>Residential address</w:t>
            </w:r>
          </w:p>
        </w:tc>
        <w:tc>
          <w:tcPr>
            <w:tcW w:w="5103" w:type="dxa"/>
            <w:shd w:val="clear" w:color="auto" w:fill="FFFFFF" w:themeFill="background1" w:themeFillTint="33"/>
            <w:vAlign w:val="center"/>
          </w:tcPr>
          <w:p w14:paraId="68ACDF0E" w14:textId="77777777" w:rsidR="00983AE6" w:rsidRPr="00EE777E" w:rsidRDefault="00983AE6" w:rsidP="005F300B">
            <w:pPr>
              <w:rPr>
                <w:rFonts w:cstheme="minorHAnsi"/>
                <w:sz w:val="18"/>
                <w:szCs w:val="18"/>
              </w:rPr>
            </w:pPr>
            <w:r w:rsidRPr="00EE777E">
              <w:rPr>
                <w:rFonts w:cstheme="minorHAnsi"/>
                <w:sz w:val="18"/>
                <w:szCs w:val="18"/>
              </w:rPr>
              <w:t>STREET SUBURB POSTCODE</w:t>
            </w:r>
          </w:p>
        </w:tc>
      </w:tr>
      <w:tr w:rsidR="00983AE6" w:rsidRPr="00EE777E" w14:paraId="39D80734" w14:textId="77777777" w:rsidTr="005F300B">
        <w:trPr>
          <w:trHeight w:val="249"/>
        </w:trPr>
        <w:tc>
          <w:tcPr>
            <w:tcW w:w="3652" w:type="dxa"/>
            <w:shd w:val="clear" w:color="auto" w:fill="FFFFFF" w:themeFill="background1" w:themeFillTint="33"/>
            <w:vAlign w:val="center"/>
          </w:tcPr>
          <w:p w14:paraId="5DAB1FEF" w14:textId="77777777" w:rsidR="00983AE6" w:rsidRPr="00EE777E" w:rsidRDefault="00983AE6" w:rsidP="005F300B">
            <w:pPr>
              <w:rPr>
                <w:rFonts w:cstheme="minorHAnsi"/>
                <w:sz w:val="18"/>
                <w:szCs w:val="18"/>
              </w:rPr>
            </w:pPr>
            <w:r w:rsidRPr="00EE777E">
              <w:rPr>
                <w:rFonts w:cstheme="minorHAnsi"/>
                <w:sz w:val="18"/>
                <w:szCs w:val="18"/>
              </w:rPr>
              <w:t>Phone number</w:t>
            </w:r>
          </w:p>
        </w:tc>
        <w:tc>
          <w:tcPr>
            <w:tcW w:w="5103" w:type="dxa"/>
            <w:shd w:val="clear" w:color="auto" w:fill="FFFFFF" w:themeFill="background1" w:themeFillTint="33"/>
            <w:vAlign w:val="center"/>
          </w:tcPr>
          <w:p w14:paraId="08F4FE9A" w14:textId="77777777" w:rsidR="00983AE6" w:rsidRPr="00EE777E" w:rsidRDefault="00983AE6" w:rsidP="005F300B">
            <w:pPr>
              <w:rPr>
                <w:rFonts w:cstheme="minorHAnsi"/>
                <w:sz w:val="18"/>
                <w:szCs w:val="18"/>
              </w:rPr>
            </w:pPr>
            <w:r w:rsidRPr="00EE777E">
              <w:rPr>
                <w:rFonts w:cstheme="minorHAnsi"/>
                <w:sz w:val="18"/>
                <w:szCs w:val="18"/>
              </w:rPr>
              <w:t>XXXX XXX XXX</w:t>
            </w:r>
          </w:p>
        </w:tc>
      </w:tr>
      <w:tr w:rsidR="00983AE6" w:rsidRPr="00EE777E" w14:paraId="5027DDE1" w14:textId="77777777" w:rsidTr="005F300B">
        <w:trPr>
          <w:trHeight w:val="249"/>
        </w:trPr>
        <w:tc>
          <w:tcPr>
            <w:tcW w:w="3652" w:type="dxa"/>
            <w:shd w:val="clear" w:color="auto" w:fill="FFFFFF" w:themeFill="background1" w:themeFillTint="33"/>
            <w:vAlign w:val="center"/>
          </w:tcPr>
          <w:p w14:paraId="2F9924A4" w14:textId="77777777" w:rsidR="00983AE6" w:rsidRPr="00EE777E" w:rsidRDefault="00983AE6" w:rsidP="005F300B">
            <w:pPr>
              <w:rPr>
                <w:rFonts w:cstheme="minorHAnsi"/>
                <w:sz w:val="18"/>
                <w:szCs w:val="18"/>
              </w:rPr>
            </w:pPr>
            <w:r w:rsidRPr="00EE777E">
              <w:rPr>
                <w:rFonts w:cstheme="minorHAnsi"/>
                <w:sz w:val="18"/>
                <w:szCs w:val="18"/>
              </w:rPr>
              <w:t xml:space="preserve">Personal email </w:t>
            </w:r>
          </w:p>
        </w:tc>
        <w:tc>
          <w:tcPr>
            <w:tcW w:w="5103" w:type="dxa"/>
            <w:shd w:val="clear" w:color="auto" w:fill="FFFFFF" w:themeFill="background1" w:themeFillTint="33"/>
            <w:vAlign w:val="center"/>
          </w:tcPr>
          <w:p w14:paraId="211F7DBF" w14:textId="0AB3A553" w:rsidR="00983AE6" w:rsidRPr="00EE777E" w:rsidRDefault="00983AE6" w:rsidP="005F300B">
            <w:pPr>
              <w:rPr>
                <w:rFonts w:cstheme="minorHAnsi"/>
                <w:sz w:val="18"/>
                <w:szCs w:val="18"/>
              </w:rPr>
            </w:pPr>
            <w:r w:rsidRPr="00EE777E">
              <w:rPr>
                <w:rFonts w:cstheme="minorHAnsi"/>
                <w:sz w:val="18"/>
                <w:szCs w:val="18"/>
              </w:rPr>
              <w:t>NAME@gmail.com</w:t>
            </w:r>
          </w:p>
        </w:tc>
      </w:tr>
      <w:tr w:rsidR="00983AE6" w:rsidRPr="00EE777E" w14:paraId="7E35CAF8" w14:textId="77777777" w:rsidTr="005F300B">
        <w:trPr>
          <w:trHeight w:val="249"/>
        </w:trPr>
        <w:tc>
          <w:tcPr>
            <w:tcW w:w="3652" w:type="dxa"/>
            <w:shd w:val="clear" w:color="auto" w:fill="FFFFFF" w:themeFill="background1" w:themeFillTint="33"/>
            <w:vAlign w:val="center"/>
          </w:tcPr>
          <w:p w14:paraId="2477E43F" w14:textId="77777777" w:rsidR="00983AE6" w:rsidRPr="00EE777E" w:rsidRDefault="00983AE6" w:rsidP="005F300B">
            <w:pPr>
              <w:rPr>
                <w:rFonts w:cstheme="minorHAnsi"/>
                <w:sz w:val="18"/>
                <w:szCs w:val="18"/>
              </w:rPr>
            </w:pPr>
            <w:r w:rsidRPr="00EE777E">
              <w:rPr>
                <w:rFonts w:cstheme="minorHAnsi"/>
                <w:sz w:val="18"/>
                <w:szCs w:val="18"/>
              </w:rPr>
              <w:t>Student ID number</w:t>
            </w:r>
          </w:p>
        </w:tc>
        <w:tc>
          <w:tcPr>
            <w:tcW w:w="5103" w:type="dxa"/>
            <w:shd w:val="clear" w:color="auto" w:fill="FFFFFF" w:themeFill="background1" w:themeFillTint="33"/>
            <w:vAlign w:val="center"/>
          </w:tcPr>
          <w:p w14:paraId="267C00C2" w14:textId="77777777" w:rsidR="00983AE6" w:rsidRPr="00EE777E" w:rsidRDefault="00983AE6" w:rsidP="005F300B">
            <w:pPr>
              <w:rPr>
                <w:rFonts w:cstheme="minorHAnsi"/>
                <w:sz w:val="18"/>
                <w:szCs w:val="18"/>
              </w:rPr>
            </w:pPr>
            <w:r w:rsidRPr="00EE777E">
              <w:rPr>
                <w:rFonts w:cstheme="minorHAnsi"/>
                <w:sz w:val="18"/>
                <w:szCs w:val="18"/>
              </w:rPr>
              <w:t>XXXXXX</w:t>
            </w:r>
          </w:p>
        </w:tc>
      </w:tr>
      <w:tr w:rsidR="00983AE6" w:rsidRPr="00EE777E" w14:paraId="44F896E6" w14:textId="77777777" w:rsidTr="005F300B">
        <w:trPr>
          <w:trHeight w:val="249"/>
        </w:trPr>
        <w:tc>
          <w:tcPr>
            <w:tcW w:w="3652" w:type="dxa"/>
            <w:shd w:val="clear" w:color="auto" w:fill="FFFFFF" w:themeFill="background1" w:themeFillTint="33"/>
            <w:vAlign w:val="center"/>
          </w:tcPr>
          <w:p w14:paraId="70B88AA5" w14:textId="77777777" w:rsidR="00983AE6" w:rsidRPr="00EE777E" w:rsidRDefault="00983AE6" w:rsidP="005F300B">
            <w:pPr>
              <w:rPr>
                <w:rFonts w:cstheme="minorHAnsi"/>
                <w:sz w:val="18"/>
                <w:szCs w:val="18"/>
              </w:rPr>
            </w:pPr>
            <w:r w:rsidRPr="00EE777E">
              <w:rPr>
                <w:rFonts w:cstheme="minorHAnsi"/>
                <w:sz w:val="18"/>
                <w:szCs w:val="18"/>
              </w:rPr>
              <w:t>CHESSN</w:t>
            </w:r>
          </w:p>
        </w:tc>
        <w:tc>
          <w:tcPr>
            <w:tcW w:w="5103" w:type="dxa"/>
            <w:shd w:val="clear" w:color="auto" w:fill="FFFFFF" w:themeFill="background1" w:themeFillTint="33"/>
            <w:vAlign w:val="center"/>
          </w:tcPr>
          <w:p w14:paraId="72ABD433" w14:textId="77777777" w:rsidR="00983AE6" w:rsidRPr="00EE777E" w:rsidRDefault="00983AE6" w:rsidP="005F300B">
            <w:pPr>
              <w:rPr>
                <w:rFonts w:cstheme="minorHAnsi"/>
                <w:sz w:val="18"/>
                <w:szCs w:val="18"/>
              </w:rPr>
            </w:pPr>
            <w:r w:rsidRPr="00EE777E">
              <w:rPr>
                <w:rFonts w:cstheme="minorHAnsi"/>
                <w:sz w:val="18"/>
                <w:szCs w:val="18"/>
              </w:rPr>
              <w:t>XXXXXXXXXX</w:t>
            </w:r>
          </w:p>
        </w:tc>
      </w:tr>
      <w:tr w:rsidR="00983AE6" w:rsidRPr="00EE777E" w14:paraId="264F78E3" w14:textId="77777777" w:rsidTr="005F300B">
        <w:trPr>
          <w:trHeight w:val="249"/>
        </w:trPr>
        <w:tc>
          <w:tcPr>
            <w:tcW w:w="3652" w:type="dxa"/>
            <w:shd w:val="clear" w:color="auto" w:fill="FFFFFF" w:themeFill="background1" w:themeFillTint="33"/>
            <w:vAlign w:val="center"/>
          </w:tcPr>
          <w:p w14:paraId="0FC1BE77" w14:textId="77777777" w:rsidR="00983AE6" w:rsidRPr="00EE777E" w:rsidRDefault="00983AE6" w:rsidP="005F300B">
            <w:pPr>
              <w:rPr>
                <w:rFonts w:cstheme="minorHAnsi"/>
                <w:sz w:val="18"/>
                <w:szCs w:val="18"/>
              </w:rPr>
            </w:pPr>
            <w:r w:rsidRPr="00EE777E">
              <w:rPr>
                <w:rFonts w:cstheme="minorHAnsi"/>
                <w:sz w:val="18"/>
                <w:szCs w:val="18"/>
              </w:rPr>
              <w:t>USI</w:t>
            </w:r>
          </w:p>
        </w:tc>
        <w:tc>
          <w:tcPr>
            <w:tcW w:w="5103" w:type="dxa"/>
            <w:shd w:val="clear" w:color="auto" w:fill="FFFFFF" w:themeFill="background1" w:themeFillTint="33"/>
            <w:vAlign w:val="center"/>
          </w:tcPr>
          <w:p w14:paraId="16B48498" w14:textId="77777777" w:rsidR="00983AE6" w:rsidRPr="00EE777E" w:rsidRDefault="00983AE6" w:rsidP="005F300B">
            <w:pPr>
              <w:rPr>
                <w:rFonts w:cstheme="minorHAnsi"/>
                <w:sz w:val="18"/>
                <w:szCs w:val="18"/>
              </w:rPr>
            </w:pPr>
            <w:r w:rsidRPr="00EE777E">
              <w:rPr>
                <w:rFonts w:cstheme="minorHAnsi"/>
                <w:sz w:val="18"/>
                <w:szCs w:val="18"/>
              </w:rPr>
              <w:t>3AT88DH9U5</w:t>
            </w:r>
          </w:p>
        </w:tc>
      </w:tr>
      <w:tr w:rsidR="00983AE6" w:rsidRPr="00EE777E" w14:paraId="797610A6" w14:textId="77777777" w:rsidTr="005F300B">
        <w:trPr>
          <w:trHeight w:val="249"/>
        </w:trPr>
        <w:tc>
          <w:tcPr>
            <w:tcW w:w="3652" w:type="dxa"/>
            <w:shd w:val="clear" w:color="auto" w:fill="FFFFFF" w:themeFill="background1" w:themeFillTint="33"/>
            <w:vAlign w:val="center"/>
          </w:tcPr>
          <w:p w14:paraId="51DD62BF" w14:textId="77777777" w:rsidR="00983AE6" w:rsidRPr="00EE777E" w:rsidRDefault="00983AE6" w:rsidP="005F300B">
            <w:pPr>
              <w:rPr>
                <w:rFonts w:cstheme="minorHAnsi"/>
                <w:sz w:val="18"/>
                <w:szCs w:val="18"/>
              </w:rPr>
            </w:pPr>
            <w:r w:rsidRPr="00EE777E">
              <w:rPr>
                <w:rFonts w:cstheme="minorHAnsi"/>
                <w:sz w:val="18"/>
                <w:szCs w:val="18"/>
              </w:rPr>
              <w:t>Provider name</w:t>
            </w:r>
          </w:p>
        </w:tc>
        <w:tc>
          <w:tcPr>
            <w:tcW w:w="5103" w:type="dxa"/>
            <w:shd w:val="clear" w:color="auto" w:fill="FFFFFF" w:themeFill="background1" w:themeFillTint="33"/>
            <w:vAlign w:val="center"/>
          </w:tcPr>
          <w:p w14:paraId="352221C3" w14:textId="77777777" w:rsidR="00983AE6" w:rsidRPr="00EE777E" w:rsidRDefault="00983AE6" w:rsidP="005F300B">
            <w:pPr>
              <w:rPr>
                <w:rFonts w:cstheme="minorHAnsi"/>
                <w:sz w:val="18"/>
                <w:szCs w:val="18"/>
              </w:rPr>
            </w:pPr>
            <w:r w:rsidRPr="00EE777E">
              <w:rPr>
                <w:rFonts w:cstheme="minorHAnsi"/>
                <w:sz w:val="18"/>
                <w:szCs w:val="18"/>
              </w:rPr>
              <w:t>ABC Training</w:t>
            </w:r>
          </w:p>
        </w:tc>
      </w:tr>
      <w:tr w:rsidR="00983AE6" w:rsidRPr="00EE777E" w14:paraId="31086C82" w14:textId="77777777" w:rsidTr="005F300B">
        <w:trPr>
          <w:trHeight w:val="249"/>
        </w:trPr>
        <w:tc>
          <w:tcPr>
            <w:tcW w:w="3652" w:type="dxa"/>
            <w:shd w:val="clear" w:color="auto" w:fill="FFFFFF" w:themeFill="background1" w:themeFillTint="33"/>
            <w:vAlign w:val="center"/>
          </w:tcPr>
          <w:p w14:paraId="4169B634" w14:textId="77777777" w:rsidR="00983AE6" w:rsidRPr="00EE777E" w:rsidRDefault="00983AE6" w:rsidP="005F300B">
            <w:pPr>
              <w:rPr>
                <w:rFonts w:cstheme="minorHAnsi"/>
                <w:sz w:val="18"/>
                <w:szCs w:val="18"/>
              </w:rPr>
            </w:pPr>
            <w:r w:rsidRPr="00EE777E">
              <w:rPr>
                <w:rFonts w:cstheme="minorHAnsi"/>
                <w:sz w:val="18"/>
                <w:szCs w:val="18"/>
              </w:rPr>
              <w:t>Business name(s)</w:t>
            </w:r>
          </w:p>
        </w:tc>
        <w:tc>
          <w:tcPr>
            <w:tcW w:w="5103" w:type="dxa"/>
            <w:shd w:val="clear" w:color="auto" w:fill="FFFFFF" w:themeFill="background1" w:themeFillTint="33"/>
            <w:vAlign w:val="center"/>
          </w:tcPr>
          <w:p w14:paraId="0F7FB326" w14:textId="77777777" w:rsidR="00983AE6" w:rsidRPr="00EE777E" w:rsidRDefault="00983AE6" w:rsidP="005F300B">
            <w:pPr>
              <w:rPr>
                <w:rFonts w:cstheme="minorHAnsi"/>
                <w:sz w:val="18"/>
                <w:szCs w:val="18"/>
              </w:rPr>
            </w:pPr>
            <w:r w:rsidRPr="00EE777E">
              <w:rPr>
                <w:rFonts w:cstheme="minorHAnsi"/>
                <w:sz w:val="18"/>
                <w:szCs w:val="18"/>
              </w:rPr>
              <w:t>Training pathways</w:t>
            </w:r>
          </w:p>
        </w:tc>
      </w:tr>
      <w:tr w:rsidR="00983AE6" w:rsidRPr="00EE777E" w14:paraId="092C899E" w14:textId="77777777" w:rsidTr="005F300B">
        <w:trPr>
          <w:trHeight w:val="249"/>
        </w:trPr>
        <w:tc>
          <w:tcPr>
            <w:tcW w:w="3652" w:type="dxa"/>
            <w:shd w:val="clear" w:color="auto" w:fill="FFFFFF" w:themeFill="background1" w:themeFillTint="33"/>
            <w:vAlign w:val="center"/>
          </w:tcPr>
          <w:p w14:paraId="2B377771" w14:textId="77777777" w:rsidR="00983AE6" w:rsidRPr="00EE777E" w:rsidRDefault="00983AE6" w:rsidP="005F300B">
            <w:pPr>
              <w:rPr>
                <w:rFonts w:cstheme="minorHAnsi"/>
                <w:sz w:val="18"/>
                <w:szCs w:val="18"/>
              </w:rPr>
            </w:pPr>
            <w:r w:rsidRPr="00EE777E">
              <w:rPr>
                <w:rFonts w:cstheme="minorHAnsi"/>
                <w:sz w:val="18"/>
                <w:szCs w:val="18"/>
              </w:rPr>
              <w:t>RTO code (Provider’s registration code)</w:t>
            </w:r>
          </w:p>
        </w:tc>
        <w:tc>
          <w:tcPr>
            <w:tcW w:w="5103" w:type="dxa"/>
            <w:shd w:val="clear" w:color="auto" w:fill="FFFFFF" w:themeFill="background1" w:themeFillTint="33"/>
            <w:vAlign w:val="center"/>
          </w:tcPr>
          <w:p w14:paraId="09EDF715" w14:textId="77777777" w:rsidR="00983AE6" w:rsidRPr="00EE777E" w:rsidRDefault="00983AE6" w:rsidP="005F300B">
            <w:pPr>
              <w:rPr>
                <w:rFonts w:cstheme="minorHAnsi"/>
                <w:sz w:val="18"/>
                <w:szCs w:val="18"/>
              </w:rPr>
            </w:pPr>
            <w:r w:rsidRPr="00EE777E">
              <w:rPr>
                <w:rFonts w:cstheme="minorHAnsi"/>
                <w:sz w:val="18"/>
                <w:szCs w:val="18"/>
              </w:rPr>
              <w:t>XXXX</w:t>
            </w:r>
          </w:p>
        </w:tc>
      </w:tr>
    </w:tbl>
    <w:p w14:paraId="0CA83397" w14:textId="77777777" w:rsidR="00983AE6" w:rsidRPr="00EE777E" w:rsidRDefault="00983AE6" w:rsidP="00983AE6">
      <w:pPr>
        <w:rPr>
          <w:rFonts w:cstheme="minorHAnsi"/>
          <w:sz w:val="2"/>
          <w:szCs w:val="2"/>
        </w:rPr>
      </w:pPr>
    </w:p>
    <w:p w14:paraId="2BCFDC62" w14:textId="289017A1" w:rsidR="00983AE6" w:rsidRPr="00EE777E" w:rsidRDefault="00983AE6" w:rsidP="00983AE6">
      <w:pPr>
        <w:rPr>
          <w:rFonts w:cstheme="minorHAnsi"/>
          <w:sz w:val="2"/>
          <w:szCs w:val="2"/>
        </w:rPr>
      </w:pPr>
    </w:p>
    <w:p w14:paraId="60465BBD" w14:textId="675BB84C" w:rsidR="00983AE6" w:rsidRPr="00EE777E" w:rsidRDefault="00983AE6" w:rsidP="00983AE6">
      <w:pPr>
        <w:rPr>
          <w:rFonts w:cstheme="minorHAnsi"/>
          <w:sz w:val="2"/>
          <w:szCs w:val="2"/>
        </w:rPr>
      </w:pPr>
    </w:p>
    <w:p w14:paraId="063A4E16" w14:textId="44BA2974" w:rsidR="00983AE6" w:rsidRPr="00EE777E" w:rsidRDefault="00A04636" w:rsidP="00983AE6">
      <w:pPr>
        <w:rPr>
          <w:rFonts w:cstheme="minorHAnsi"/>
          <w:sz w:val="2"/>
          <w:szCs w:val="2"/>
        </w:rPr>
      </w:pPr>
      <w:r w:rsidRPr="00EE777E">
        <w:rPr>
          <w:rFonts w:cstheme="minorHAnsi"/>
          <w:noProof/>
          <w:sz w:val="2"/>
          <w:szCs w:val="2"/>
          <w:lang w:eastAsia="en-AU"/>
        </w:rPr>
        <mc:AlternateContent>
          <mc:Choice Requires="wps">
            <w:drawing>
              <wp:anchor distT="0" distB="0" distL="114300" distR="114300" simplePos="0" relativeHeight="251658240" behindDoc="0" locked="0" layoutInCell="1" allowOverlap="1" wp14:anchorId="296EDB81" wp14:editId="02A5B77C">
                <wp:simplePos x="0" y="0"/>
                <wp:positionH relativeFrom="column">
                  <wp:posOffset>5508625</wp:posOffset>
                </wp:positionH>
                <wp:positionV relativeFrom="paragraph">
                  <wp:posOffset>6350</wp:posOffset>
                </wp:positionV>
                <wp:extent cx="4050665" cy="1095555"/>
                <wp:effectExtent l="0" t="0" r="2603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095555"/>
                        </a:xfrm>
                        <a:prstGeom prst="rect">
                          <a:avLst/>
                        </a:prstGeom>
                        <a:solidFill>
                          <a:srgbClr val="FFFFFF"/>
                        </a:solidFill>
                        <a:ln w="9525">
                          <a:solidFill>
                            <a:srgbClr val="000000"/>
                          </a:solidFill>
                          <a:miter lim="800000"/>
                          <a:headEnd/>
                          <a:tailEnd/>
                        </a:ln>
                      </wps:spPr>
                      <wps:txbx>
                        <w:txbxContent>
                          <w:p w14:paraId="4F71B997" w14:textId="77777777" w:rsidR="0012240F" w:rsidRPr="005A1011" w:rsidRDefault="0012240F" w:rsidP="00983AE6">
                            <w:pPr>
                              <w:spacing w:after="0"/>
                              <w:jc w:val="center"/>
                              <w:rPr>
                                <w:b/>
                                <w:sz w:val="20"/>
                                <w:szCs w:val="20"/>
                              </w:rPr>
                            </w:pPr>
                            <w:r w:rsidRPr="005A1011">
                              <w:rPr>
                                <w:b/>
                                <w:sz w:val="20"/>
                                <w:szCs w:val="20"/>
                              </w:rPr>
                              <w:t>IMPORTANT INFORMATION</w:t>
                            </w:r>
                          </w:p>
                          <w:p w14:paraId="58E9BB4F" w14:textId="77777777" w:rsidR="0012240F" w:rsidRPr="00EE777E" w:rsidRDefault="0012240F" w:rsidP="00983AE6">
                            <w:pPr>
                              <w:spacing w:after="0"/>
                              <w:rPr>
                                <w:rFonts w:cstheme="minorHAnsi"/>
                                <w:b/>
                                <w:sz w:val="18"/>
                                <w:szCs w:val="18"/>
                              </w:rPr>
                            </w:pPr>
                            <w:r w:rsidRPr="00EE777E">
                              <w:rPr>
                                <w:rFonts w:cstheme="minorHAnsi"/>
                                <w:b/>
                                <w:sz w:val="18"/>
                                <w:szCs w:val="18"/>
                              </w:rPr>
                              <w:t xml:space="preserve">If you </w:t>
                            </w:r>
                            <w:r w:rsidRPr="00EE777E">
                              <w:rPr>
                                <w:rFonts w:cstheme="minorHAnsi"/>
                                <w:b/>
                                <w:sz w:val="18"/>
                                <w:szCs w:val="18"/>
                                <w:u w:val="single"/>
                              </w:rPr>
                              <w:t>do not</w:t>
                            </w:r>
                            <w:r w:rsidRPr="00EE777E">
                              <w:rPr>
                                <w:rFonts w:cstheme="minorHAnsi"/>
                                <w:b/>
                                <w:sz w:val="18"/>
                                <w:szCs w:val="18"/>
                              </w:rPr>
                              <w:t xml:space="preserve"> want to continue studying in the below mentioned part of your course </w:t>
                            </w:r>
                            <w:r w:rsidRPr="00EE777E">
                              <w:rPr>
                                <w:rFonts w:cstheme="minorHAnsi"/>
                                <w:b/>
                                <w:sz w:val="18"/>
                                <w:szCs w:val="18"/>
                                <w:u w:val="single"/>
                              </w:rPr>
                              <w:t>you must withdraw on or before the census day</w:t>
                            </w:r>
                            <w:r w:rsidRPr="00EE777E">
                              <w:rPr>
                                <w:rFonts w:cstheme="minorHAnsi"/>
                                <w:b/>
                                <w:sz w:val="18"/>
                                <w:szCs w:val="18"/>
                              </w:rPr>
                              <w:t xml:space="preserve"> (see below) in accordance with [name of provider]’s withdrawal procedure. [Name of provider]’s withdrawal procedure is available here: [insert URL]. If you </w:t>
                            </w:r>
                            <w:r w:rsidRPr="00EE777E">
                              <w:rPr>
                                <w:rFonts w:cstheme="minorHAnsi"/>
                                <w:b/>
                                <w:sz w:val="18"/>
                                <w:szCs w:val="18"/>
                                <w:u w:val="single"/>
                              </w:rPr>
                              <w:t>do not withdraw</w:t>
                            </w:r>
                            <w:r w:rsidRPr="00EE777E">
                              <w:rPr>
                                <w:rFonts w:cstheme="minorHAnsi"/>
                                <w:b/>
                                <w:sz w:val="18"/>
                                <w:szCs w:val="18"/>
                              </w:rPr>
                              <w:t xml:space="preserve"> from the mentioned part of your course on or before the census day </w:t>
                            </w:r>
                            <w:r w:rsidRPr="00EE777E">
                              <w:rPr>
                                <w:rFonts w:cstheme="minorHAnsi"/>
                                <w:b/>
                                <w:sz w:val="18"/>
                                <w:szCs w:val="18"/>
                                <w:u w:val="single"/>
                              </w:rPr>
                              <w:t>you will incur a VET Student Loan debt for the amount indicated below</w:t>
                            </w:r>
                            <w:r w:rsidRPr="00EE777E">
                              <w:rPr>
                                <w:rFonts w:cstheme="minorHAnsi"/>
                                <w:b/>
                                <w:sz w:val="18"/>
                                <w:szCs w:val="18"/>
                              </w:rPr>
                              <w:t>.</w:t>
                            </w:r>
                          </w:p>
                          <w:p w14:paraId="19C39D4B" w14:textId="77777777" w:rsidR="0012240F" w:rsidRDefault="0012240F" w:rsidP="00983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EDB81" id="_x0000_t202" coordsize="21600,21600" o:spt="202" path="m,l,21600r21600,l21600,xe">
                <v:stroke joinstyle="miter"/>
                <v:path gradientshapeok="t" o:connecttype="rect"/>
              </v:shapetype>
              <v:shape id="Text Box 2" o:spid="_x0000_s1027" type="#_x0000_t202" style="position:absolute;margin-left:433.75pt;margin-top:.5pt;width:318.9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">
                <v:textbox>
                  <w:txbxContent>
                    <w:p w14:paraId="4F71B997" w14:textId="77777777" w:rsidR="0012240F" w:rsidRPr="005A1011" w:rsidRDefault="0012240F" w:rsidP="00983AE6">
                      <w:pPr>
                        <w:spacing w:after="0"/>
                        <w:jc w:val="center"/>
                        <w:rPr>
                          <w:b/>
                          <w:sz w:val="20"/>
                          <w:szCs w:val="20"/>
                        </w:rPr>
                      </w:pPr>
                      <w:r w:rsidRPr="005A1011">
                        <w:rPr>
                          <w:b/>
                          <w:sz w:val="20"/>
                          <w:szCs w:val="20"/>
                        </w:rPr>
                        <w:t>IMPORTANT INFORMATION</w:t>
                      </w:r>
                    </w:p>
                    <w:p w14:paraId="58E9BB4F" w14:textId="77777777" w:rsidR="0012240F" w:rsidRPr="00EE777E" w:rsidRDefault="0012240F" w:rsidP="00983AE6">
                      <w:pPr>
                        <w:spacing w:after="0"/>
                        <w:rPr>
                          <w:rFonts w:cstheme="minorHAnsi"/>
                          <w:b/>
                          <w:sz w:val="18"/>
                          <w:szCs w:val="18"/>
                        </w:rPr>
                      </w:pPr>
                      <w:r w:rsidRPr="00EE777E">
                        <w:rPr>
                          <w:rFonts w:cstheme="minorHAnsi"/>
                          <w:b/>
                          <w:sz w:val="18"/>
                          <w:szCs w:val="18"/>
                        </w:rPr>
                        <w:t xml:space="preserve">If you </w:t>
                      </w:r>
                      <w:r w:rsidRPr="00EE777E">
                        <w:rPr>
                          <w:rFonts w:cstheme="minorHAnsi"/>
                          <w:b/>
                          <w:sz w:val="18"/>
                          <w:szCs w:val="18"/>
                          <w:u w:val="single"/>
                        </w:rPr>
                        <w:t>do not</w:t>
                      </w:r>
                      <w:r w:rsidRPr="00EE777E">
                        <w:rPr>
                          <w:rFonts w:cstheme="minorHAnsi"/>
                          <w:b/>
                          <w:sz w:val="18"/>
                          <w:szCs w:val="18"/>
                        </w:rPr>
                        <w:t xml:space="preserve"> want to continue studying in the below mentioned part of your course </w:t>
                      </w:r>
                      <w:r w:rsidRPr="00EE777E">
                        <w:rPr>
                          <w:rFonts w:cstheme="minorHAnsi"/>
                          <w:b/>
                          <w:sz w:val="18"/>
                          <w:szCs w:val="18"/>
                          <w:u w:val="single"/>
                        </w:rPr>
                        <w:t>you must withdraw on or before the census day</w:t>
                      </w:r>
                      <w:r w:rsidRPr="00EE777E">
                        <w:rPr>
                          <w:rFonts w:cstheme="minorHAnsi"/>
                          <w:b/>
                          <w:sz w:val="18"/>
                          <w:szCs w:val="18"/>
                        </w:rPr>
                        <w:t xml:space="preserve"> (see below) in accordance with [name of provider]’s withdrawal procedure. [Name of provider]’s withdrawal procedure is available here: [insert URL]. If you </w:t>
                      </w:r>
                      <w:r w:rsidRPr="00EE777E">
                        <w:rPr>
                          <w:rFonts w:cstheme="minorHAnsi"/>
                          <w:b/>
                          <w:sz w:val="18"/>
                          <w:szCs w:val="18"/>
                          <w:u w:val="single"/>
                        </w:rPr>
                        <w:t>do not withdraw</w:t>
                      </w:r>
                      <w:r w:rsidRPr="00EE777E">
                        <w:rPr>
                          <w:rFonts w:cstheme="minorHAnsi"/>
                          <w:b/>
                          <w:sz w:val="18"/>
                          <w:szCs w:val="18"/>
                        </w:rPr>
                        <w:t xml:space="preserve"> from the mentioned part of your course on or before the census day </w:t>
                      </w:r>
                      <w:r w:rsidRPr="00EE777E">
                        <w:rPr>
                          <w:rFonts w:cstheme="minorHAnsi"/>
                          <w:b/>
                          <w:sz w:val="18"/>
                          <w:szCs w:val="18"/>
                          <w:u w:val="single"/>
                        </w:rPr>
                        <w:t>you will incur a VET Student Loan debt for the amount indicated below</w:t>
                      </w:r>
                      <w:r w:rsidRPr="00EE777E">
                        <w:rPr>
                          <w:rFonts w:cstheme="minorHAnsi"/>
                          <w:b/>
                          <w:sz w:val="18"/>
                          <w:szCs w:val="18"/>
                        </w:rPr>
                        <w:t>.</w:t>
                      </w:r>
                    </w:p>
                    <w:p w14:paraId="19C39D4B" w14:textId="77777777" w:rsidR="0012240F" w:rsidRDefault="0012240F" w:rsidP="00983AE6"/>
                  </w:txbxContent>
                </v:textbox>
              </v:shape>
            </w:pict>
          </mc:Fallback>
        </mc:AlternateContent>
      </w:r>
    </w:p>
    <w:p w14:paraId="05D24F1A" w14:textId="52F3E599" w:rsidR="00983AE6" w:rsidRPr="00EE777E" w:rsidRDefault="00983AE6" w:rsidP="00983AE6">
      <w:pPr>
        <w:rPr>
          <w:rFonts w:cstheme="minorHAnsi"/>
          <w:sz w:val="2"/>
          <w:szCs w:val="2"/>
        </w:rPr>
      </w:pPr>
    </w:p>
    <w:p w14:paraId="70315941" w14:textId="77777777" w:rsidR="00983AE6" w:rsidRPr="00EE777E" w:rsidRDefault="00983AE6" w:rsidP="00983AE6">
      <w:pPr>
        <w:rPr>
          <w:rFonts w:cstheme="minorHAnsi"/>
          <w:sz w:val="2"/>
          <w:szCs w:val="2"/>
        </w:rPr>
      </w:pPr>
    </w:p>
    <w:p w14:paraId="303A1763" w14:textId="77777777" w:rsidR="00983AE6" w:rsidRPr="00EE777E" w:rsidRDefault="00983AE6" w:rsidP="00983AE6">
      <w:pPr>
        <w:rPr>
          <w:rFonts w:cstheme="minorHAnsi"/>
          <w:sz w:val="2"/>
          <w:szCs w:val="2"/>
        </w:rPr>
      </w:pPr>
    </w:p>
    <w:p w14:paraId="3FA005B6" w14:textId="77777777" w:rsidR="00983AE6" w:rsidRPr="00EE777E" w:rsidRDefault="00983AE6" w:rsidP="00983AE6">
      <w:pPr>
        <w:rPr>
          <w:rFonts w:cstheme="minorHAnsi"/>
          <w:sz w:val="2"/>
          <w:szCs w:val="2"/>
        </w:rPr>
      </w:pPr>
    </w:p>
    <w:p w14:paraId="7907DB4C" w14:textId="77777777" w:rsidR="00983AE6" w:rsidRPr="00EE777E" w:rsidRDefault="00983AE6" w:rsidP="00983AE6">
      <w:pPr>
        <w:rPr>
          <w:rFonts w:cstheme="minorHAnsi"/>
          <w:sz w:val="2"/>
          <w:szCs w:val="2"/>
        </w:rPr>
      </w:pPr>
    </w:p>
    <w:p w14:paraId="3D74FE0D" w14:textId="77777777" w:rsidR="00983AE6" w:rsidRPr="00EE777E" w:rsidRDefault="00983AE6" w:rsidP="00983AE6">
      <w:pPr>
        <w:rPr>
          <w:rFonts w:cstheme="minorHAnsi"/>
          <w:sz w:val="2"/>
          <w:szCs w:val="2"/>
        </w:rPr>
      </w:pPr>
    </w:p>
    <w:tbl>
      <w:tblPr>
        <w:tblStyle w:val="TableGrid"/>
        <w:tblW w:w="15735" w:type="dxa"/>
        <w:tblInd w:w="-601" w:type="dxa"/>
        <w:tblLook w:val="04A0" w:firstRow="1" w:lastRow="0" w:firstColumn="1" w:lastColumn="0" w:noHBand="0" w:noVBand="1"/>
        <w:tblCaption w:val="Sample – VET Student Loan Statement of covered fees and Fee Notice"/>
        <w:tblDescription w:val="Sample – VET Student Loan Statement of covered fees and Fee Notice"/>
      </w:tblPr>
      <w:tblGrid>
        <w:gridCol w:w="1608"/>
        <w:gridCol w:w="2782"/>
        <w:gridCol w:w="1297"/>
        <w:gridCol w:w="2829"/>
        <w:gridCol w:w="1974"/>
        <w:gridCol w:w="1559"/>
        <w:gridCol w:w="1560"/>
        <w:gridCol w:w="2126"/>
      </w:tblGrid>
      <w:tr w:rsidR="00983AE6" w:rsidRPr="00EE777E" w14:paraId="719F2E09" w14:textId="77777777" w:rsidTr="005F300B">
        <w:tc>
          <w:tcPr>
            <w:tcW w:w="1608" w:type="dxa"/>
            <w:shd w:val="clear" w:color="auto" w:fill="24206B"/>
            <w:vAlign w:val="center"/>
          </w:tcPr>
          <w:p w14:paraId="4C4313E9" w14:textId="77777777" w:rsidR="00983AE6" w:rsidRPr="00983AE6" w:rsidRDefault="00983AE6" w:rsidP="00983AE6">
            <w:pPr>
              <w:pStyle w:val="Tableheading"/>
              <w:rPr>
                <w:sz w:val="20"/>
              </w:rPr>
            </w:pPr>
            <w:r w:rsidRPr="00983AE6">
              <w:rPr>
                <w:sz w:val="20"/>
              </w:rPr>
              <w:t>Course code</w:t>
            </w:r>
          </w:p>
        </w:tc>
        <w:tc>
          <w:tcPr>
            <w:tcW w:w="2782" w:type="dxa"/>
            <w:shd w:val="clear" w:color="auto" w:fill="24206B"/>
            <w:vAlign w:val="center"/>
          </w:tcPr>
          <w:p w14:paraId="445FADA8" w14:textId="77777777" w:rsidR="00983AE6" w:rsidRPr="00983AE6" w:rsidRDefault="00983AE6" w:rsidP="00983AE6">
            <w:pPr>
              <w:pStyle w:val="Tableheading"/>
              <w:rPr>
                <w:sz w:val="20"/>
              </w:rPr>
            </w:pPr>
            <w:r w:rsidRPr="00983AE6">
              <w:rPr>
                <w:sz w:val="20"/>
              </w:rPr>
              <w:t>Course name</w:t>
            </w:r>
          </w:p>
        </w:tc>
        <w:tc>
          <w:tcPr>
            <w:tcW w:w="1297" w:type="dxa"/>
            <w:shd w:val="clear" w:color="auto" w:fill="24206B"/>
            <w:vAlign w:val="center"/>
          </w:tcPr>
          <w:p w14:paraId="2595E1F8" w14:textId="77777777" w:rsidR="00983AE6" w:rsidRPr="00983AE6" w:rsidRDefault="00983AE6" w:rsidP="00983AE6">
            <w:pPr>
              <w:pStyle w:val="Tableheading"/>
              <w:rPr>
                <w:sz w:val="20"/>
              </w:rPr>
            </w:pPr>
            <w:r w:rsidRPr="00983AE6">
              <w:rPr>
                <w:sz w:val="20"/>
              </w:rPr>
              <w:t>Unit/part course code</w:t>
            </w:r>
          </w:p>
        </w:tc>
        <w:tc>
          <w:tcPr>
            <w:tcW w:w="2829" w:type="dxa"/>
            <w:shd w:val="clear" w:color="auto" w:fill="24206B"/>
            <w:vAlign w:val="center"/>
          </w:tcPr>
          <w:p w14:paraId="020ABC11" w14:textId="77777777" w:rsidR="00983AE6" w:rsidRPr="00983AE6" w:rsidRDefault="00983AE6" w:rsidP="00983AE6">
            <w:pPr>
              <w:pStyle w:val="Tableheading"/>
              <w:rPr>
                <w:sz w:val="20"/>
              </w:rPr>
            </w:pPr>
            <w:r w:rsidRPr="00983AE6">
              <w:rPr>
                <w:sz w:val="20"/>
              </w:rPr>
              <w:t>Unit/part course name</w:t>
            </w:r>
          </w:p>
        </w:tc>
        <w:tc>
          <w:tcPr>
            <w:tcW w:w="1974" w:type="dxa"/>
            <w:shd w:val="clear" w:color="auto" w:fill="24206B"/>
            <w:vAlign w:val="center"/>
          </w:tcPr>
          <w:p w14:paraId="70DD8AE6" w14:textId="77777777" w:rsidR="00983AE6" w:rsidRPr="00983AE6" w:rsidRDefault="00983AE6" w:rsidP="00983AE6">
            <w:pPr>
              <w:pStyle w:val="Tableheading"/>
              <w:rPr>
                <w:sz w:val="20"/>
              </w:rPr>
            </w:pPr>
            <w:r w:rsidRPr="00983AE6">
              <w:rPr>
                <w:sz w:val="20"/>
              </w:rPr>
              <w:t>Census day / upfront payment date</w:t>
            </w:r>
          </w:p>
        </w:tc>
        <w:tc>
          <w:tcPr>
            <w:tcW w:w="1559" w:type="dxa"/>
            <w:shd w:val="clear" w:color="auto" w:fill="24206B"/>
            <w:vAlign w:val="center"/>
          </w:tcPr>
          <w:p w14:paraId="7E2698A2" w14:textId="77777777" w:rsidR="00983AE6" w:rsidRPr="00983AE6" w:rsidRDefault="00983AE6" w:rsidP="00983AE6">
            <w:pPr>
              <w:pStyle w:val="Tableheading"/>
              <w:rPr>
                <w:sz w:val="20"/>
              </w:rPr>
            </w:pPr>
            <w:r w:rsidRPr="00983AE6">
              <w:rPr>
                <w:sz w:val="20"/>
              </w:rPr>
              <w:t>Tuition fee covered by VSL</w:t>
            </w:r>
          </w:p>
        </w:tc>
        <w:tc>
          <w:tcPr>
            <w:tcW w:w="1560" w:type="dxa"/>
            <w:shd w:val="clear" w:color="auto" w:fill="24206B"/>
            <w:vAlign w:val="center"/>
          </w:tcPr>
          <w:p w14:paraId="29BA722B" w14:textId="77777777" w:rsidR="00983AE6" w:rsidRPr="00983AE6" w:rsidRDefault="00983AE6" w:rsidP="00983AE6">
            <w:pPr>
              <w:pStyle w:val="Tableheading"/>
              <w:rPr>
                <w:sz w:val="20"/>
              </w:rPr>
            </w:pPr>
            <w:r w:rsidRPr="00983AE6">
              <w:rPr>
                <w:sz w:val="20"/>
              </w:rPr>
              <w:t>Loan fee</w:t>
            </w:r>
          </w:p>
        </w:tc>
        <w:tc>
          <w:tcPr>
            <w:tcW w:w="2126" w:type="dxa"/>
            <w:shd w:val="clear" w:color="auto" w:fill="24206B"/>
            <w:vAlign w:val="center"/>
          </w:tcPr>
          <w:p w14:paraId="70BAA413" w14:textId="77777777" w:rsidR="00983AE6" w:rsidRPr="00983AE6" w:rsidRDefault="00983AE6" w:rsidP="00983AE6">
            <w:pPr>
              <w:pStyle w:val="Tableheading"/>
              <w:rPr>
                <w:sz w:val="20"/>
              </w:rPr>
            </w:pPr>
            <w:r w:rsidRPr="00983AE6">
              <w:rPr>
                <w:sz w:val="20"/>
              </w:rPr>
              <w:t>Tuition fee to be paid by student upfront (i.e. not covered by VSL)</w:t>
            </w:r>
          </w:p>
          <w:p w14:paraId="43355F8B" w14:textId="77777777" w:rsidR="00983AE6" w:rsidRPr="00983AE6" w:rsidRDefault="00983AE6" w:rsidP="00983AE6">
            <w:pPr>
              <w:pStyle w:val="Tableheading"/>
              <w:rPr>
                <w:sz w:val="20"/>
              </w:rPr>
            </w:pPr>
          </w:p>
        </w:tc>
      </w:tr>
      <w:tr w:rsidR="00983AE6" w:rsidRPr="00EE777E" w14:paraId="0EDDC0A8" w14:textId="77777777" w:rsidTr="005F300B">
        <w:trPr>
          <w:trHeight w:val="323"/>
        </w:trPr>
        <w:tc>
          <w:tcPr>
            <w:tcW w:w="1608" w:type="dxa"/>
            <w:shd w:val="clear" w:color="auto" w:fill="FFFFFF" w:themeFill="background1" w:themeFillTint="33"/>
          </w:tcPr>
          <w:p w14:paraId="02B6079C" w14:textId="77777777" w:rsidR="00983AE6" w:rsidRPr="00EE777E" w:rsidRDefault="00983AE6" w:rsidP="005F300B">
            <w:pPr>
              <w:rPr>
                <w:rFonts w:cstheme="minorHAnsi"/>
                <w:sz w:val="18"/>
                <w:szCs w:val="18"/>
              </w:rPr>
            </w:pPr>
            <w:r w:rsidRPr="00EE777E">
              <w:rPr>
                <w:rFonts w:cstheme="minorHAnsi"/>
                <w:sz w:val="18"/>
                <w:szCs w:val="18"/>
              </w:rPr>
              <w:t>ICT50115</w:t>
            </w:r>
          </w:p>
        </w:tc>
        <w:tc>
          <w:tcPr>
            <w:tcW w:w="2782" w:type="dxa"/>
            <w:shd w:val="clear" w:color="auto" w:fill="FFFFFF" w:themeFill="background1" w:themeFillTint="33"/>
          </w:tcPr>
          <w:p w14:paraId="1C4E945C" w14:textId="77777777" w:rsidR="00983AE6" w:rsidRPr="00EE777E" w:rsidRDefault="00983AE6" w:rsidP="005F300B">
            <w:pPr>
              <w:rPr>
                <w:rFonts w:cstheme="minorHAnsi"/>
                <w:sz w:val="18"/>
                <w:szCs w:val="18"/>
              </w:rPr>
            </w:pPr>
            <w:r w:rsidRPr="00EE777E">
              <w:rPr>
                <w:rFonts w:cstheme="minorHAnsi"/>
                <w:sz w:val="18"/>
                <w:szCs w:val="18"/>
              </w:rPr>
              <w:t>Dip of Information Technology</w:t>
            </w:r>
          </w:p>
        </w:tc>
        <w:tc>
          <w:tcPr>
            <w:tcW w:w="1297" w:type="dxa"/>
            <w:shd w:val="clear" w:color="auto" w:fill="FFFFFF" w:themeFill="background1" w:themeFillTint="33"/>
          </w:tcPr>
          <w:p w14:paraId="0D9E591B" w14:textId="77777777" w:rsidR="00983AE6" w:rsidRPr="00EE777E" w:rsidRDefault="0016765E" w:rsidP="005F300B">
            <w:pPr>
              <w:rPr>
                <w:rFonts w:cstheme="minorHAnsi"/>
                <w:sz w:val="18"/>
                <w:szCs w:val="18"/>
              </w:rPr>
            </w:pPr>
            <w:hyperlink r:id="rId124" w:tooltip="View details for unit code BSBCRT501" w:history="1">
              <w:r w:rsidR="00983AE6" w:rsidRPr="00EE777E">
                <w:rPr>
                  <w:rFonts w:cstheme="minorHAnsi"/>
                  <w:sz w:val="18"/>
                  <w:szCs w:val="18"/>
                </w:rPr>
                <w:t>BSBCRT501</w:t>
              </w:r>
            </w:hyperlink>
          </w:p>
        </w:tc>
        <w:tc>
          <w:tcPr>
            <w:tcW w:w="2829" w:type="dxa"/>
            <w:shd w:val="clear" w:color="auto" w:fill="FFFFFF" w:themeFill="background1" w:themeFillTint="33"/>
          </w:tcPr>
          <w:p w14:paraId="0ECD1676" w14:textId="77777777" w:rsidR="00983AE6" w:rsidRPr="00EE777E" w:rsidRDefault="00983AE6" w:rsidP="005F300B">
            <w:pPr>
              <w:rPr>
                <w:rFonts w:cstheme="minorHAnsi"/>
                <w:sz w:val="18"/>
                <w:szCs w:val="18"/>
              </w:rPr>
            </w:pPr>
            <w:r w:rsidRPr="00EE777E">
              <w:rPr>
                <w:rFonts w:cstheme="minorHAnsi"/>
                <w:sz w:val="18"/>
                <w:szCs w:val="18"/>
              </w:rPr>
              <w:t>Originate and develop concepts </w:t>
            </w:r>
          </w:p>
        </w:tc>
        <w:tc>
          <w:tcPr>
            <w:tcW w:w="1974" w:type="dxa"/>
            <w:shd w:val="clear" w:color="auto" w:fill="FFFFFF" w:themeFill="background1" w:themeFillTint="33"/>
          </w:tcPr>
          <w:p w14:paraId="6CE36270" w14:textId="77777777" w:rsidR="00983AE6" w:rsidRPr="00EE777E" w:rsidRDefault="00983AE6" w:rsidP="005F300B">
            <w:pPr>
              <w:rPr>
                <w:rFonts w:cstheme="minorHAnsi"/>
                <w:sz w:val="18"/>
                <w:szCs w:val="18"/>
              </w:rPr>
            </w:pPr>
            <w:r w:rsidRPr="00EE777E">
              <w:rPr>
                <w:rFonts w:cstheme="minorHAnsi"/>
                <w:sz w:val="18"/>
                <w:szCs w:val="18"/>
              </w:rPr>
              <w:t>10 April 2017</w:t>
            </w:r>
          </w:p>
        </w:tc>
        <w:tc>
          <w:tcPr>
            <w:tcW w:w="1559" w:type="dxa"/>
            <w:shd w:val="clear" w:color="auto" w:fill="FFFFFF" w:themeFill="background1" w:themeFillTint="33"/>
          </w:tcPr>
          <w:p w14:paraId="6A445E04" w14:textId="77777777" w:rsidR="00983AE6" w:rsidRPr="00EE777E" w:rsidRDefault="00983AE6" w:rsidP="005F300B">
            <w:pPr>
              <w:ind w:left="-250"/>
              <w:jc w:val="right"/>
              <w:rPr>
                <w:rFonts w:cstheme="minorHAnsi"/>
                <w:sz w:val="18"/>
                <w:szCs w:val="18"/>
              </w:rPr>
            </w:pPr>
            <w:r w:rsidRPr="00EE777E">
              <w:rPr>
                <w:rFonts w:cstheme="minorHAnsi"/>
                <w:sz w:val="18"/>
                <w:szCs w:val="18"/>
              </w:rPr>
              <w:t>$525</w:t>
            </w:r>
          </w:p>
        </w:tc>
        <w:tc>
          <w:tcPr>
            <w:tcW w:w="1560" w:type="dxa"/>
            <w:shd w:val="clear" w:color="auto" w:fill="FFFFFF" w:themeFill="background1" w:themeFillTint="33"/>
          </w:tcPr>
          <w:p w14:paraId="5BD7BF0E" w14:textId="77777777" w:rsidR="00983AE6" w:rsidRPr="00EE777E" w:rsidRDefault="00983AE6" w:rsidP="005F300B">
            <w:pPr>
              <w:jc w:val="right"/>
              <w:rPr>
                <w:rFonts w:cstheme="minorHAnsi"/>
                <w:sz w:val="18"/>
                <w:szCs w:val="18"/>
              </w:rPr>
            </w:pPr>
            <w:r w:rsidRPr="00EE777E">
              <w:rPr>
                <w:rFonts w:cstheme="minorHAnsi"/>
                <w:sz w:val="18"/>
                <w:szCs w:val="18"/>
              </w:rPr>
              <w:t>$105</w:t>
            </w:r>
          </w:p>
        </w:tc>
        <w:tc>
          <w:tcPr>
            <w:tcW w:w="2126" w:type="dxa"/>
            <w:shd w:val="clear" w:color="auto" w:fill="FFFFFF" w:themeFill="background1" w:themeFillTint="33"/>
          </w:tcPr>
          <w:p w14:paraId="7EC962BC" w14:textId="77777777" w:rsidR="00983AE6" w:rsidRPr="00EE777E" w:rsidRDefault="00983AE6" w:rsidP="005F300B">
            <w:pPr>
              <w:jc w:val="right"/>
              <w:rPr>
                <w:rFonts w:cstheme="minorHAnsi"/>
                <w:sz w:val="18"/>
                <w:szCs w:val="18"/>
              </w:rPr>
            </w:pPr>
            <w:r w:rsidRPr="00EE777E">
              <w:rPr>
                <w:rFonts w:cstheme="minorHAnsi"/>
                <w:sz w:val="18"/>
                <w:szCs w:val="18"/>
              </w:rPr>
              <w:t>Nil</w:t>
            </w:r>
          </w:p>
        </w:tc>
      </w:tr>
      <w:tr w:rsidR="00983AE6" w:rsidRPr="00EE777E" w14:paraId="3E6A88A1" w14:textId="77777777" w:rsidTr="005F300B">
        <w:trPr>
          <w:trHeight w:val="289"/>
        </w:trPr>
        <w:tc>
          <w:tcPr>
            <w:tcW w:w="1608" w:type="dxa"/>
            <w:shd w:val="clear" w:color="auto" w:fill="FFFFFF" w:themeFill="background1" w:themeFillTint="33"/>
          </w:tcPr>
          <w:p w14:paraId="6C34B855" w14:textId="77777777" w:rsidR="00983AE6" w:rsidRPr="00EE777E" w:rsidRDefault="00983AE6" w:rsidP="005F300B">
            <w:pPr>
              <w:rPr>
                <w:rFonts w:cstheme="minorHAnsi"/>
                <w:sz w:val="18"/>
                <w:szCs w:val="18"/>
              </w:rPr>
            </w:pPr>
            <w:r w:rsidRPr="00EE777E">
              <w:rPr>
                <w:rFonts w:cstheme="minorHAnsi"/>
                <w:sz w:val="18"/>
                <w:szCs w:val="18"/>
              </w:rPr>
              <w:t>ICT50115</w:t>
            </w:r>
          </w:p>
        </w:tc>
        <w:tc>
          <w:tcPr>
            <w:tcW w:w="2782" w:type="dxa"/>
            <w:shd w:val="clear" w:color="auto" w:fill="FFFFFF" w:themeFill="background1" w:themeFillTint="33"/>
          </w:tcPr>
          <w:p w14:paraId="3D9083C6" w14:textId="77777777" w:rsidR="00983AE6" w:rsidRPr="00EE777E" w:rsidRDefault="00983AE6" w:rsidP="005F300B">
            <w:pPr>
              <w:rPr>
                <w:rFonts w:cstheme="minorHAnsi"/>
                <w:sz w:val="18"/>
                <w:szCs w:val="18"/>
              </w:rPr>
            </w:pPr>
            <w:r w:rsidRPr="00EE777E">
              <w:rPr>
                <w:rFonts w:cstheme="minorHAnsi"/>
                <w:sz w:val="18"/>
                <w:szCs w:val="18"/>
              </w:rPr>
              <w:t>Dip of Information Technology</w:t>
            </w:r>
          </w:p>
        </w:tc>
        <w:tc>
          <w:tcPr>
            <w:tcW w:w="1297" w:type="dxa"/>
            <w:shd w:val="clear" w:color="auto" w:fill="FFFFFF" w:themeFill="background1" w:themeFillTint="33"/>
          </w:tcPr>
          <w:p w14:paraId="6C1C162C" w14:textId="77777777" w:rsidR="00983AE6" w:rsidRPr="00EE777E" w:rsidRDefault="0016765E" w:rsidP="005F300B">
            <w:pPr>
              <w:rPr>
                <w:rFonts w:cstheme="minorHAnsi"/>
                <w:sz w:val="18"/>
                <w:szCs w:val="18"/>
              </w:rPr>
            </w:pPr>
            <w:hyperlink r:id="rId125" w:tooltip="View details for unit code BSBWHS501" w:history="1">
              <w:r w:rsidR="00983AE6" w:rsidRPr="00EE777E">
                <w:rPr>
                  <w:rFonts w:cstheme="minorHAnsi"/>
                  <w:sz w:val="18"/>
                  <w:szCs w:val="18"/>
                </w:rPr>
                <w:t>BSBWHS501</w:t>
              </w:r>
            </w:hyperlink>
          </w:p>
        </w:tc>
        <w:tc>
          <w:tcPr>
            <w:tcW w:w="2829" w:type="dxa"/>
            <w:shd w:val="clear" w:color="auto" w:fill="FFFFFF" w:themeFill="background1" w:themeFillTint="33"/>
          </w:tcPr>
          <w:p w14:paraId="0C8B8E9F" w14:textId="77777777" w:rsidR="00983AE6" w:rsidRPr="00EE777E" w:rsidRDefault="00983AE6" w:rsidP="005F300B">
            <w:pPr>
              <w:rPr>
                <w:rFonts w:eastAsiaTheme="minorHAnsi" w:cstheme="minorHAnsi"/>
                <w:sz w:val="18"/>
                <w:szCs w:val="18"/>
              </w:rPr>
            </w:pPr>
            <w:r w:rsidRPr="00EE777E">
              <w:rPr>
                <w:rFonts w:eastAsiaTheme="minorHAnsi" w:cstheme="minorHAnsi"/>
                <w:sz w:val="18"/>
                <w:szCs w:val="18"/>
              </w:rPr>
              <w:t>Ensure a safe workplace </w:t>
            </w:r>
          </w:p>
        </w:tc>
        <w:tc>
          <w:tcPr>
            <w:tcW w:w="1974" w:type="dxa"/>
            <w:shd w:val="clear" w:color="auto" w:fill="FFFFFF" w:themeFill="background1" w:themeFillTint="33"/>
          </w:tcPr>
          <w:p w14:paraId="60EB2E52" w14:textId="77777777" w:rsidR="00983AE6" w:rsidRPr="00EE777E" w:rsidRDefault="00983AE6" w:rsidP="005F300B">
            <w:pPr>
              <w:rPr>
                <w:rFonts w:cstheme="minorHAnsi"/>
                <w:sz w:val="18"/>
                <w:szCs w:val="18"/>
              </w:rPr>
            </w:pPr>
            <w:r w:rsidRPr="00EE777E">
              <w:rPr>
                <w:rFonts w:cstheme="minorHAnsi"/>
                <w:sz w:val="18"/>
                <w:szCs w:val="18"/>
              </w:rPr>
              <w:t>10 April 2017</w:t>
            </w:r>
          </w:p>
        </w:tc>
        <w:tc>
          <w:tcPr>
            <w:tcW w:w="1559" w:type="dxa"/>
            <w:shd w:val="clear" w:color="auto" w:fill="FFFFFF" w:themeFill="background1" w:themeFillTint="33"/>
          </w:tcPr>
          <w:p w14:paraId="395CE159" w14:textId="77777777" w:rsidR="00983AE6" w:rsidRPr="00EE777E" w:rsidRDefault="00983AE6" w:rsidP="005F300B">
            <w:pPr>
              <w:jc w:val="right"/>
              <w:rPr>
                <w:rFonts w:cstheme="minorHAnsi"/>
                <w:sz w:val="18"/>
                <w:szCs w:val="18"/>
              </w:rPr>
            </w:pPr>
            <w:r w:rsidRPr="00EE777E">
              <w:rPr>
                <w:rFonts w:cstheme="minorHAnsi"/>
                <w:sz w:val="18"/>
                <w:szCs w:val="18"/>
              </w:rPr>
              <w:t>$600</w:t>
            </w:r>
          </w:p>
        </w:tc>
        <w:tc>
          <w:tcPr>
            <w:tcW w:w="1560" w:type="dxa"/>
            <w:shd w:val="clear" w:color="auto" w:fill="FFFFFF" w:themeFill="background1" w:themeFillTint="33"/>
          </w:tcPr>
          <w:p w14:paraId="3B3DD9D7" w14:textId="77777777" w:rsidR="00983AE6" w:rsidRPr="00EE777E" w:rsidRDefault="00983AE6" w:rsidP="005F300B">
            <w:pPr>
              <w:jc w:val="right"/>
              <w:rPr>
                <w:rFonts w:cstheme="minorHAnsi"/>
                <w:sz w:val="18"/>
                <w:szCs w:val="18"/>
              </w:rPr>
            </w:pPr>
            <w:r w:rsidRPr="00EE777E">
              <w:rPr>
                <w:rFonts w:cstheme="minorHAnsi"/>
                <w:sz w:val="18"/>
                <w:szCs w:val="18"/>
              </w:rPr>
              <w:t>$120</w:t>
            </w:r>
          </w:p>
        </w:tc>
        <w:tc>
          <w:tcPr>
            <w:tcW w:w="2126" w:type="dxa"/>
            <w:shd w:val="clear" w:color="auto" w:fill="FFFFFF" w:themeFill="background1" w:themeFillTint="33"/>
          </w:tcPr>
          <w:p w14:paraId="4EDAE406" w14:textId="77777777" w:rsidR="00983AE6" w:rsidRPr="00EE777E" w:rsidRDefault="00983AE6" w:rsidP="005F300B">
            <w:pPr>
              <w:jc w:val="right"/>
              <w:rPr>
                <w:rFonts w:cstheme="minorHAnsi"/>
                <w:sz w:val="18"/>
                <w:szCs w:val="18"/>
              </w:rPr>
            </w:pPr>
            <w:r w:rsidRPr="00EE777E">
              <w:rPr>
                <w:rFonts w:cstheme="minorHAnsi"/>
                <w:sz w:val="18"/>
                <w:szCs w:val="18"/>
              </w:rPr>
              <w:t>Nil</w:t>
            </w:r>
          </w:p>
        </w:tc>
      </w:tr>
      <w:tr w:rsidR="00983AE6" w:rsidRPr="00EE777E" w14:paraId="3DA4E9A4" w14:textId="77777777" w:rsidTr="005F300B">
        <w:trPr>
          <w:trHeight w:val="289"/>
        </w:trPr>
        <w:tc>
          <w:tcPr>
            <w:tcW w:w="10490" w:type="dxa"/>
            <w:gridSpan w:val="5"/>
            <w:vMerge w:val="restart"/>
            <w:shd w:val="clear" w:color="auto" w:fill="FFFFFF" w:themeFill="background1" w:themeFillTint="33"/>
          </w:tcPr>
          <w:p w14:paraId="18086926" w14:textId="77777777" w:rsidR="00983AE6" w:rsidRPr="00EE777E" w:rsidRDefault="00983AE6" w:rsidP="005F300B">
            <w:pPr>
              <w:ind w:right="601"/>
              <w:rPr>
                <w:rFonts w:cstheme="minorHAnsi"/>
                <w:b/>
                <w:sz w:val="16"/>
                <w:szCs w:val="16"/>
              </w:rPr>
            </w:pPr>
          </w:p>
          <w:p w14:paraId="15B6966C" w14:textId="77777777" w:rsidR="00983AE6" w:rsidRPr="00EE777E" w:rsidRDefault="00983AE6" w:rsidP="005F300B">
            <w:pPr>
              <w:shd w:val="clear" w:color="auto" w:fill="FFFFFF" w:themeFill="background1" w:themeFillTint="33"/>
              <w:ind w:right="601"/>
              <w:rPr>
                <w:rFonts w:cstheme="minorHAnsi"/>
                <w:b/>
                <w:sz w:val="16"/>
                <w:szCs w:val="16"/>
              </w:rPr>
            </w:pPr>
            <w:r w:rsidRPr="00EE777E">
              <w:rPr>
                <w:rFonts w:cstheme="minorHAnsi"/>
                <w:b/>
                <w:sz w:val="16"/>
                <w:szCs w:val="16"/>
              </w:rPr>
              <w:t>IMPORTANT NOTES:</w:t>
            </w:r>
          </w:p>
          <w:p w14:paraId="18B568E1" w14:textId="77777777" w:rsidR="00983AE6" w:rsidRPr="00EE777E" w:rsidRDefault="00983AE6" w:rsidP="00983AE6">
            <w:pPr>
              <w:pStyle w:val="ListParagraph"/>
              <w:keepLines/>
              <w:numPr>
                <w:ilvl w:val="0"/>
                <w:numId w:val="24"/>
              </w:numPr>
              <w:shd w:val="clear" w:color="auto" w:fill="FFFFFF" w:themeFill="background1" w:themeFillTint="33"/>
              <w:spacing w:line="276" w:lineRule="auto"/>
              <w:ind w:right="601"/>
              <w:rPr>
                <w:rFonts w:cstheme="minorHAnsi"/>
                <w:b/>
                <w:sz w:val="16"/>
                <w:szCs w:val="16"/>
              </w:rPr>
            </w:pPr>
            <w:r w:rsidRPr="00EE777E">
              <w:rPr>
                <w:rFonts w:cstheme="minorHAnsi"/>
                <w:b/>
                <w:sz w:val="16"/>
                <w:szCs w:val="16"/>
              </w:rPr>
              <w:t>This statement given that the your enrolment was accepted on the basis that some or all of the tuition fees for your course will be covered by VET Student Loans.</w:t>
            </w:r>
          </w:p>
          <w:p w14:paraId="028549B2" w14:textId="77777777" w:rsidR="00983AE6" w:rsidRPr="00EE777E" w:rsidRDefault="00983AE6" w:rsidP="00983AE6">
            <w:pPr>
              <w:pStyle w:val="ListParagraph"/>
              <w:keepLines/>
              <w:numPr>
                <w:ilvl w:val="0"/>
                <w:numId w:val="24"/>
              </w:numPr>
              <w:shd w:val="clear" w:color="auto" w:fill="FFFFFF" w:themeFill="background1" w:themeFillTint="33"/>
              <w:spacing w:line="276" w:lineRule="auto"/>
              <w:ind w:right="601"/>
              <w:rPr>
                <w:rFonts w:cstheme="minorHAnsi"/>
                <w:b/>
                <w:sz w:val="16"/>
                <w:szCs w:val="16"/>
              </w:rPr>
            </w:pPr>
            <w:r w:rsidRPr="00EE777E">
              <w:rPr>
                <w:rFonts w:cstheme="minorHAnsi"/>
                <w:b/>
                <w:sz w:val="16"/>
                <w:szCs w:val="16"/>
              </w:rPr>
              <w:t xml:space="preserve">If you believe that the information contained in this notice is incorrect, you have the right to request a correction in accordance with [name of provider]’s information management procedure which is available here [insert URL]. </w:t>
            </w:r>
          </w:p>
          <w:p w14:paraId="4E68EFDB" w14:textId="77777777" w:rsidR="00983AE6" w:rsidRPr="00EE777E" w:rsidRDefault="00983AE6" w:rsidP="00983AE6">
            <w:pPr>
              <w:pStyle w:val="ListParagraph"/>
              <w:keepLines/>
              <w:numPr>
                <w:ilvl w:val="0"/>
                <w:numId w:val="24"/>
              </w:numPr>
              <w:shd w:val="clear" w:color="auto" w:fill="FFFFFF" w:themeFill="background1" w:themeFillTint="33"/>
              <w:spacing w:line="276" w:lineRule="auto"/>
              <w:ind w:right="601"/>
              <w:rPr>
                <w:rFonts w:cstheme="minorHAnsi"/>
                <w:b/>
                <w:sz w:val="16"/>
                <w:szCs w:val="16"/>
              </w:rPr>
            </w:pPr>
            <w:r w:rsidRPr="00EE777E">
              <w:rPr>
                <w:rFonts w:cstheme="minorHAnsi"/>
                <w:b/>
                <w:sz w:val="16"/>
                <w:szCs w:val="16"/>
              </w:rPr>
              <w:t>You may be required to communicate your agreement for the Secretary of the Department of Education and Training to continue to use a VET student loan to pay the tuition fees for your course (the progression and engagement requirement).</w:t>
            </w:r>
          </w:p>
          <w:p w14:paraId="2AC67543" w14:textId="77777777" w:rsidR="00983AE6" w:rsidRPr="00EE777E" w:rsidRDefault="00983AE6" w:rsidP="00983AE6">
            <w:pPr>
              <w:pStyle w:val="ListParagraph"/>
              <w:keepLines/>
              <w:numPr>
                <w:ilvl w:val="0"/>
                <w:numId w:val="24"/>
              </w:numPr>
              <w:shd w:val="clear" w:color="auto" w:fill="FFFFFF" w:themeFill="background1" w:themeFillTint="33"/>
              <w:spacing w:line="276" w:lineRule="auto"/>
              <w:ind w:right="601"/>
              <w:rPr>
                <w:rFonts w:cstheme="minorHAnsi"/>
                <w:b/>
                <w:sz w:val="16"/>
                <w:szCs w:val="16"/>
              </w:rPr>
            </w:pPr>
            <w:r w:rsidRPr="00EE777E">
              <w:rPr>
                <w:rFonts w:cstheme="minorHAnsi"/>
                <w:b/>
                <w:sz w:val="16"/>
                <w:szCs w:val="16"/>
              </w:rPr>
              <w:t>A VET student loan will not be used to pay the covered fees for a part of your course if you advise [provider name] before the census day that you do not want to access a loan for your tuition fees. This communication must be in writing and you should keep a copy for your records.</w:t>
            </w:r>
          </w:p>
          <w:p w14:paraId="1A8D4783" w14:textId="77777777" w:rsidR="00983AE6" w:rsidRPr="00EE777E" w:rsidRDefault="00983AE6" w:rsidP="00983AE6">
            <w:pPr>
              <w:pStyle w:val="ListParagraph"/>
              <w:keepLines/>
              <w:numPr>
                <w:ilvl w:val="0"/>
                <w:numId w:val="24"/>
              </w:numPr>
              <w:shd w:val="clear" w:color="auto" w:fill="FFFFFF" w:themeFill="background1" w:themeFillTint="33"/>
              <w:spacing w:line="276" w:lineRule="auto"/>
              <w:ind w:right="601"/>
              <w:rPr>
                <w:rFonts w:cstheme="minorHAnsi"/>
                <w:b/>
                <w:sz w:val="16"/>
                <w:szCs w:val="16"/>
              </w:rPr>
            </w:pPr>
            <w:r w:rsidRPr="00EE777E">
              <w:rPr>
                <w:rFonts w:cstheme="minorHAnsi"/>
                <w:b/>
                <w:sz w:val="16"/>
                <w:szCs w:val="16"/>
              </w:rPr>
              <w:t>Any VET student loan debt will remain a personal debt until it is repaid to the Commonwealth.</w:t>
            </w:r>
          </w:p>
        </w:tc>
        <w:tc>
          <w:tcPr>
            <w:tcW w:w="1559" w:type="dxa"/>
            <w:shd w:val="clear" w:color="auto" w:fill="24206B"/>
            <w:vAlign w:val="center"/>
          </w:tcPr>
          <w:p w14:paraId="38FD1A99" w14:textId="77777777" w:rsidR="00983AE6" w:rsidRDefault="00983AE6" w:rsidP="005F300B">
            <w:pPr>
              <w:ind w:right="33"/>
              <w:rPr>
                <w:rFonts w:cstheme="minorHAnsi"/>
                <w:b/>
                <w:color w:val="EEECE1" w:themeColor="background2"/>
                <w:sz w:val="18"/>
                <w:szCs w:val="18"/>
              </w:rPr>
            </w:pPr>
            <w:r w:rsidRPr="00FA0EB6">
              <w:rPr>
                <w:rFonts w:cstheme="minorHAnsi"/>
                <w:b/>
                <w:color w:val="EEECE1" w:themeColor="background2"/>
                <w:sz w:val="18"/>
                <w:szCs w:val="18"/>
              </w:rPr>
              <w:t>Total tuition fee covered by VSL</w:t>
            </w:r>
          </w:p>
          <w:p w14:paraId="60F22749" w14:textId="77777777" w:rsidR="00983AE6" w:rsidRPr="00FA0EB6" w:rsidRDefault="00983AE6" w:rsidP="005F300B">
            <w:pPr>
              <w:ind w:right="33"/>
              <w:rPr>
                <w:rFonts w:cstheme="minorHAnsi"/>
                <w:color w:val="EEECE1" w:themeColor="background2"/>
                <w:sz w:val="18"/>
                <w:szCs w:val="18"/>
              </w:rPr>
            </w:pPr>
          </w:p>
        </w:tc>
        <w:tc>
          <w:tcPr>
            <w:tcW w:w="1560" w:type="dxa"/>
            <w:shd w:val="clear" w:color="auto" w:fill="24206B"/>
            <w:vAlign w:val="center"/>
          </w:tcPr>
          <w:p w14:paraId="44DA1534" w14:textId="77777777" w:rsidR="00983AE6" w:rsidRPr="00FA0EB6" w:rsidRDefault="00983AE6" w:rsidP="005F300B">
            <w:pPr>
              <w:rPr>
                <w:rFonts w:cstheme="minorHAnsi"/>
                <w:color w:val="EEECE1" w:themeColor="background2"/>
                <w:sz w:val="18"/>
                <w:szCs w:val="18"/>
              </w:rPr>
            </w:pPr>
            <w:r w:rsidRPr="00FA0EB6">
              <w:rPr>
                <w:rFonts w:cstheme="minorHAnsi"/>
                <w:b/>
                <w:color w:val="EEECE1" w:themeColor="background2"/>
                <w:sz w:val="18"/>
                <w:szCs w:val="18"/>
              </w:rPr>
              <w:t>Total loan fee</w:t>
            </w:r>
          </w:p>
        </w:tc>
        <w:tc>
          <w:tcPr>
            <w:tcW w:w="2126" w:type="dxa"/>
            <w:shd w:val="clear" w:color="auto" w:fill="24206B"/>
            <w:vAlign w:val="center"/>
          </w:tcPr>
          <w:p w14:paraId="7D6C4520" w14:textId="77777777" w:rsidR="00983AE6" w:rsidRPr="00FA0EB6" w:rsidRDefault="00983AE6" w:rsidP="005F300B">
            <w:pPr>
              <w:rPr>
                <w:rFonts w:cstheme="minorHAnsi"/>
                <w:b/>
                <w:color w:val="EEECE1" w:themeColor="background2"/>
                <w:sz w:val="18"/>
                <w:szCs w:val="18"/>
              </w:rPr>
            </w:pPr>
            <w:r w:rsidRPr="00FA0EB6">
              <w:rPr>
                <w:rFonts w:cstheme="minorHAnsi"/>
                <w:b/>
                <w:color w:val="EEECE1" w:themeColor="background2"/>
                <w:sz w:val="18"/>
                <w:szCs w:val="18"/>
              </w:rPr>
              <w:t>Total tuition fee to be paid by student upfront</w:t>
            </w:r>
          </w:p>
        </w:tc>
      </w:tr>
      <w:tr w:rsidR="00983AE6" w:rsidRPr="00EE777E" w14:paraId="335D5FCC" w14:textId="77777777" w:rsidTr="005F300B">
        <w:trPr>
          <w:trHeight w:val="289"/>
        </w:trPr>
        <w:tc>
          <w:tcPr>
            <w:tcW w:w="10490" w:type="dxa"/>
            <w:gridSpan w:val="5"/>
            <w:vMerge/>
            <w:shd w:val="clear" w:color="auto" w:fill="FFFFFF" w:themeFill="background1" w:themeFillTint="33"/>
          </w:tcPr>
          <w:p w14:paraId="7AA40CB8" w14:textId="77777777" w:rsidR="00983AE6" w:rsidRPr="00EE777E" w:rsidRDefault="00983AE6" w:rsidP="005F300B">
            <w:pPr>
              <w:rPr>
                <w:rFonts w:cstheme="minorHAnsi"/>
                <w:sz w:val="18"/>
                <w:szCs w:val="18"/>
              </w:rPr>
            </w:pPr>
          </w:p>
        </w:tc>
        <w:tc>
          <w:tcPr>
            <w:tcW w:w="1559" w:type="dxa"/>
            <w:shd w:val="clear" w:color="auto" w:fill="FFFFFF" w:themeFill="background1" w:themeFillTint="33"/>
          </w:tcPr>
          <w:p w14:paraId="0288EE60" w14:textId="77777777" w:rsidR="00983AE6" w:rsidRPr="00EE777E" w:rsidRDefault="00983AE6" w:rsidP="005F300B">
            <w:pPr>
              <w:jc w:val="right"/>
              <w:rPr>
                <w:rFonts w:cstheme="minorHAnsi"/>
                <w:sz w:val="18"/>
                <w:szCs w:val="18"/>
              </w:rPr>
            </w:pPr>
            <w:r w:rsidRPr="00EE777E">
              <w:rPr>
                <w:rFonts w:cstheme="minorHAnsi"/>
                <w:sz w:val="18"/>
                <w:szCs w:val="18"/>
              </w:rPr>
              <w:t>$1125</w:t>
            </w:r>
          </w:p>
        </w:tc>
        <w:tc>
          <w:tcPr>
            <w:tcW w:w="1560" w:type="dxa"/>
            <w:shd w:val="clear" w:color="auto" w:fill="FFFFFF" w:themeFill="background1" w:themeFillTint="33"/>
          </w:tcPr>
          <w:p w14:paraId="5A2D9258" w14:textId="77777777" w:rsidR="00983AE6" w:rsidRPr="00EE777E" w:rsidRDefault="00983AE6" w:rsidP="005F300B">
            <w:pPr>
              <w:jc w:val="right"/>
              <w:rPr>
                <w:rFonts w:cstheme="minorHAnsi"/>
                <w:sz w:val="18"/>
                <w:szCs w:val="18"/>
              </w:rPr>
            </w:pPr>
            <w:r w:rsidRPr="00EE777E">
              <w:rPr>
                <w:rFonts w:cstheme="minorHAnsi"/>
                <w:sz w:val="18"/>
                <w:szCs w:val="18"/>
              </w:rPr>
              <w:t>$225</w:t>
            </w:r>
          </w:p>
        </w:tc>
        <w:tc>
          <w:tcPr>
            <w:tcW w:w="2126" w:type="dxa"/>
            <w:shd w:val="clear" w:color="auto" w:fill="FFFFFF" w:themeFill="background1" w:themeFillTint="33"/>
          </w:tcPr>
          <w:p w14:paraId="21542007" w14:textId="77777777" w:rsidR="00983AE6" w:rsidRPr="00EE777E" w:rsidRDefault="00983AE6" w:rsidP="005F300B">
            <w:pPr>
              <w:jc w:val="right"/>
              <w:rPr>
                <w:rFonts w:cstheme="minorHAnsi"/>
                <w:sz w:val="18"/>
                <w:szCs w:val="18"/>
              </w:rPr>
            </w:pPr>
            <w:r w:rsidRPr="00EE777E">
              <w:rPr>
                <w:rFonts w:cstheme="minorHAnsi"/>
                <w:sz w:val="18"/>
                <w:szCs w:val="18"/>
              </w:rPr>
              <w:t>Nil</w:t>
            </w:r>
          </w:p>
        </w:tc>
      </w:tr>
      <w:tr w:rsidR="00983AE6" w:rsidRPr="00EE777E" w14:paraId="086F2FAD" w14:textId="77777777" w:rsidTr="005F300B">
        <w:trPr>
          <w:trHeight w:val="670"/>
        </w:trPr>
        <w:tc>
          <w:tcPr>
            <w:tcW w:w="10490" w:type="dxa"/>
            <w:gridSpan w:val="5"/>
            <w:vMerge/>
            <w:shd w:val="clear" w:color="auto" w:fill="FFFFFF" w:themeFill="background1" w:themeFillTint="33"/>
          </w:tcPr>
          <w:p w14:paraId="2030D1E1" w14:textId="77777777" w:rsidR="00983AE6" w:rsidRPr="00EE777E" w:rsidRDefault="00983AE6" w:rsidP="005F300B">
            <w:pPr>
              <w:rPr>
                <w:rFonts w:cstheme="minorHAnsi"/>
                <w:sz w:val="18"/>
                <w:szCs w:val="18"/>
              </w:rPr>
            </w:pPr>
          </w:p>
        </w:tc>
        <w:tc>
          <w:tcPr>
            <w:tcW w:w="3119" w:type="dxa"/>
            <w:gridSpan w:val="2"/>
            <w:shd w:val="clear" w:color="auto" w:fill="24206B"/>
            <w:vAlign w:val="center"/>
          </w:tcPr>
          <w:p w14:paraId="0BF06422" w14:textId="77777777" w:rsidR="00983AE6" w:rsidRPr="00EE777E" w:rsidRDefault="00983AE6" w:rsidP="005F300B">
            <w:pPr>
              <w:rPr>
                <w:rFonts w:cstheme="minorHAnsi"/>
                <w:sz w:val="18"/>
                <w:szCs w:val="18"/>
              </w:rPr>
            </w:pPr>
            <w:r w:rsidRPr="00FA0EB6">
              <w:rPr>
                <w:rFonts w:cstheme="minorHAnsi"/>
                <w:b/>
                <w:color w:val="EEECE1" w:themeColor="background2"/>
                <w:sz w:val="18"/>
                <w:szCs w:val="18"/>
              </w:rPr>
              <w:t>Total HELP debt/liability</w:t>
            </w:r>
          </w:p>
        </w:tc>
        <w:tc>
          <w:tcPr>
            <w:tcW w:w="2126" w:type="dxa"/>
            <w:vMerge w:val="restart"/>
            <w:shd w:val="clear" w:color="auto" w:fill="FFFFFF" w:themeFill="background1" w:themeFillTint="33"/>
          </w:tcPr>
          <w:p w14:paraId="203E1317" w14:textId="77777777" w:rsidR="00983AE6" w:rsidRPr="00EE777E" w:rsidRDefault="00983AE6" w:rsidP="005F300B">
            <w:pPr>
              <w:rPr>
                <w:rFonts w:cstheme="minorHAnsi"/>
              </w:rPr>
            </w:pPr>
          </w:p>
        </w:tc>
      </w:tr>
      <w:tr w:rsidR="00983AE6" w:rsidRPr="00EE777E" w14:paraId="386EAE40" w14:textId="77777777" w:rsidTr="005F300B">
        <w:trPr>
          <w:trHeight w:val="670"/>
        </w:trPr>
        <w:tc>
          <w:tcPr>
            <w:tcW w:w="10490" w:type="dxa"/>
            <w:gridSpan w:val="5"/>
            <w:vMerge/>
            <w:shd w:val="clear" w:color="auto" w:fill="FFFFFF" w:themeFill="background1" w:themeFillTint="33"/>
          </w:tcPr>
          <w:p w14:paraId="2C84BCEA" w14:textId="77777777" w:rsidR="00983AE6" w:rsidRPr="00EE777E" w:rsidRDefault="00983AE6" w:rsidP="005F300B">
            <w:pPr>
              <w:rPr>
                <w:rFonts w:cstheme="minorHAnsi"/>
                <w:sz w:val="18"/>
                <w:szCs w:val="18"/>
              </w:rPr>
            </w:pPr>
          </w:p>
        </w:tc>
        <w:tc>
          <w:tcPr>
            <w:tcW w:w="3119" w:type="dxa"/>
            <w:gridSpan w:val="2"/>
            <w:shd w:val="clear" w:color="auto" w:fill="FFFFFF" w:themeFill="background1" w:themeFillTint="33"/>
          </w:tcPr>
          <w:p w14:paraId="7B503844" w14:textId="77777777" w:rsidR="00983AE6" w:rsidRPr="00EE777E" w:rsidRDefault="00983AE6" w:rsidP="005F300B">
            <w:pPr>
              <w:jc w:val="center"/>
              <w:rPr>
                <w:rFonts w:cstheme="minorHAnsi"/>
                <w:b/>
                <w:color w:val="FFFFFF" w:themeColor="background1"/>
                <w:sz w:val="18"/>
                <w:szCs w:val="18"/>
              </w:rPr>
            </w:pPr>
            <w:r w:rsidRPr="00EE777E">
              <w:rPr>
                <w:rFonts w:cstheme="minorHAnsi"/>
                <w:b/>
              </w:rPr>
              <w:t>$1350</w:t>
            </w:r>
          </w:p>
        </w:tc>
        <w:tc>
          <w:tcPr>
            <w:tcW w:w="2126" w:type="dxa"/>
            <w:vMerge/>
            <w:shd w:val="clear" w:color="auto" w:fill="FFFFFF" w:themeFill="background1" w:themeFillTint="33"/>
          </w:tcPr>
          <w:p w14:paraId="4F8B920C" w14:textId="77777777" w:rsidR="00983AE6" w:rsidRPr="00EE777E" w:rsidRDefault="00983AE6" w:rsidP="005F300B">
            <w:pPr>
              <w:rPr>
                <w:rFonts w:cstheme="minorHAnsi"/>
              </w:rPr>
            </w:pPr>
          </w:p>
        </w:tc>
      </w:tr>
    </w:tbl>
    <w:p w14:paraId="091FA991" w14:textId="0E3D3098" w:rsidR="00983AE6" w:rsidRPr="00736F23" w:rsidRDefault="00983AE6" w:rsidP="009B6106">
      <w:pPr>
        <w:pStyle w:val="Heading2"/>
      </w:pPr>
      <w:bookmarkStart w:id="4838" w:name="_Appendix_E_–"/>
      <w:bookmarkStart w:id="4839" w:name="_Toc471374634"/>
      <w:bookmarkStart w:id="4840" w:name="_Toc477960075"/>
      <w:bookmarkStart w:id="4841" w:name="_Toc483222964"/>
      <w:bookmarkStart w:id="4842" w:name="_Toc501621276"/>
      <w:bookmarkEnd w:id="4838"/>
      <w:r w:rsidRPr="00736F23">
        <w:lastRenderedPageBreak/>
        <w:t xml:space="preserve">Appendix </w:t>
      </w:r>
      <w:r>
        <w:t>D</w:t>
      </w:r>
      <w:r w:rsidRPr="00736F23">
        <w:t xml:space="preserve"> – Sample - Commonwealth Assistance Notice</w:t>
      </w:r>
      <w:bookmarkEnd w:id="4839"/>
      <w:bookmarkEnd w:id="4840"/>
      <w:bookmarkEnd w:id="4841"/>
      <w:bookmarkEnd w:id="4842"/>
    </w:p>
    <w:tbl>
      <w:tblPr>
        <w:tblStyle w:val="TableGrid"/>
        <w:tblW w:w="0" w:type="auto"/>
        <w:tblInd w:w="-743" w:type="dxa"/>
        <w:tblLook w:val="04A0" w:firstRow="1" w:lastRow="0" w:firstColumn="1" w:lastColumn="0" w:noHBand="0" w:noVBand="1"/>
        <w:tblCaption w:val="Sample - Commonwealth Assistance Notice"/>
        <w:tblDescription w:val="Sample - Commonwealth Assistance Notice"/>
      </w:tblPr>
      <w:tblGrid>
        <w:gridCol w:w="15843"/>
      </w:tblGrid>
      <w:tr w:rsidR="00983AE6" w:rsidRPr="000631CE" w14:paraId="32475F53" w14:textId="77777777" w:rsidTr="00B9688F">
        <w:tc>
          <w:tcPr>
            <w:tcW w:w="15843" w:type="dxa"/>
            <w:shd w:val="clear" w:color="auto" w:fill="FDE9D9" w:themeFill="accent6" w:themeFillTint="33"/>
          </w:tcPr>
          <w:p w14:paraId="1EB8CAC3" w14:textId="7544FF96" w:rsidR="00983AE6" w:rsidRPr="000631CE" w:rsidRDefault="00E066E6" w:rsidP="005F300B">
            <w:pPr>
              <w:jc w:val="center"/>
              <w:rPr>
                <w:rFonts w:cstheme="minorHAnsi"/>
                <w:b/>
                <w:sz w:val="20"/>
                <w:szCs w:val="20"/>
              </w:rPr>
            </w:pPr>
            <w:r w:rsidRPr="00EE777E">
              <w:rPr>
                <w:rFonts w:cstheme="minorHAnsi"/>
                <w:b/>
                <w:noProof/>
                <w:sz w:val="18"/>
                <w:szCs w:val="18"/>
                <w:lang w:eastAsia="en-AU"/>
              </w:rPr>
              <mc:AlternateContent>
                <mc:Choice Requires="wps">
                  <w:drawing>
                    <wp:anchor distT="0" distB="0" distL="114300" distR="114300" simplePos="0" relativeHeight="251654143" behindDoc="0" locked="0" layoutInCell="1" allowOverlap="1" wp14:anchorId="6E438DB5" wp14:editId="56D777AF">
                      <wp:simplePos x="0" y="0"/>
                      <wp:positionH relativeFrom="column">
                        <wp:posOffset>7971790</wp:posOffset>
                      </wp:positionH>
                      <wp:positionV relativeFrom="paragraph">
                        <wp:posOffset>158115</wp:posOffset>
                      </wp:positionV>
                      <wp:extent cx="1325245" cy="743585"/>
                      <wp:effectExtent l="0" t="0" r="8255" b="0"/>
                      <wp:wrapNone/>
                      <wp:docPr id="21" name="Oval 21" descr="ABC Training" title="ABC Training"/>
                      <wp:cNvGraphicFramePr/>
                      <a:graphic xmlns:a="http://schemas.openxmlformats.org/drawingml/2006/main">
                        <a:graphicData uri="http://schemas.microsoft.com/office/word/2010/wordprocessingShape">
                          <wps:wsp>
                            <wps:cNvSpPr/>
                            <wps:spPr>
                              <a:xfrm>
                                <a:off x="0" y="0"/>
                                <a:ext cx="1325245" cy="743585"/>
                              </a:xfrm>
                              <a:prstGeom prst="ellipse">
                                <a:avLst/>
                              </a:prstGeom>
                              <a:solidFill>
                                <a:srgbClr val="2420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77792" w14:textId="77777777" w:rsidR="0012240F" w:rsidRPr="00736169" w:rsidRDefault="0012240F" w:rsidP="00E066E6">
                                  <w:pPr>
                                    <w:jc w:val="center"/>
                                    <w:rPr>
                                      <w:b/>
                                      <w:color w:val="EEECE1" w:themeColor="background2"/>
                                    </w:rPr>
                                  </w:pPr>
                                  <w:r w:rsidRPr="00736169">
                                    <w:rPr>
                                      <w:b/>
                                      <w:color w:val="EEECE1" w:themeColor="background2"/>
                                    </w:rPr>
                                    <w:t>ABC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438DB5" id="Oval 21" o:spid="_x0000_s1028" alt="Title: ABC Training - Description: ABC Training" style="position:absolute;left:0;text-align:left;margin-left:627.7pt;margin-top:12.45pt;width:104.35pt;height:58.5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" fillcolor="#24206b" stroked="f" strokeweight="2pt">
                      <v:textbox>
                        <w:txbxContent>
                          <w:p w14:paraId="42A77792" w14:textId="77777777" w:rsidR="0012240F" w:rsidRPr="00736169" w:rsidRDefault="0012240F" w:rsidP="00E066E6">
                            <w:pPr>
                              <w:jc w:val="center"/>
                              <w:rPr>
                                <w:b/>
                                <w:color w:val="EEECE1" w:themeColor="background2"/>
                              </w:rPr>
                            </w:pPr>
                            <w:r w:rsidRPr="00736169">
                              <w:rPr>
                                <w:b/>
                                <w:color w:val="EEECE1" w:themeColor="background2"/>
                              </w:rPr>
                              <w:t>ABC Training</w:t>
                            </w:r>
                          </w:p>
                        </w:txbxContent>
                      </v:textbox>
                    </v:oval>
                  </w:pict>
                </mc:Fallback>
              </mc:AlternateContent>
            </w:r>
            <w:r w:rsidR="00983AE6" w:rsidRPr="000631CE">
              <w:rPr>
                <w:rFonts w:cstheme="minorHAnsi"/>
                <w:b/>
                <w:sz w:val="20"/>
                <w:szCs w:val="20"/>
              </w:rPr>
              <w:t>Note: This is a sample of a Commonwealth Assistance Notice (CAN) only. Providers are responsible for ensuring that their CAN meets the requirements of section 100 of the Rules.</w:t>
            </w:r>
          </w:p>
        </w:tc>
      </w:tr>
    </w:tbl>
    <w:p w14:paraId="7720CDBD" w14:textId="6FF4DE03" w:rsidR="00983AE6" w:rsidRPr="000631CE" w:rsidRDefault="00983AE6" w:rsidP="00983AE6">
      <w:pPr>
        <w:jc w:val="center"/>
        <w:rPr>
          <w:rFonts w:cstheme="minorHAnsi"/>
          <w:sz w:val="24"/>
        </w:rPr>
      </w:pPr>
      <w:r w:rsidRPr="000631CE">
        <w:rPr>
          <w:rFonts w:cstheme="minorHAnsi"/>
          <w:b/>
          <w:sz w:val="24"/>
        </w:rPr>
        <w:t>Commonwealth Assistance Notice</w:t>
      </w:r>
    </w:p>
    <w:tbl>
      <w:tblPr>
        <w:tblStyle w:val="TableGrid"/>
        <w:tblW w:w="0" w:type="auto"/>
        <w:tblInd w:w="-743" w:type="dxa"/>
        <w:shd w:val="clear" w:color="auto" w:fill="FFFFFF" w:themeFill="background1" w:themeFillTint="33"/>
        <w:tblLook w:val="04A0" w:firstRow="1" w:lastRow="0" w:firstColumn="1" w:lastColumn="0" w:noHBand="0" w:noVBand="1"/>
        <w:tblCaption w:val="Sample - Commonwealth Assistance Notice"/>
        <w:tblDescription w:val="Sample - Commonwealth Assistance Notice"/>
      </w:tblPr>
      <w:tblGrid>
        <w:gridCol w:w="2836"/>
        <w:gridCol w:w="2977"/>
      </w:tblGrid>
      <w:tr w:rsidR="00983AE6" w:rsidRPr="000631CE" w14:paraId="484CCE97" w14:textId="77777777" w:rsidTr="005F300B">
        <w:tc>
          <w:tcPr>
            <w:tcW w:w="2836" w:type="dxa"/>
            <w:shd w:val="clear" w:color="auto" w:fill="FFFFFF" w:themeFill="background1" w:themeFillTint="33"/>
          </w:tcPr>
          <w:p w14:paraId="4081BCA7" w14:textId="77777777" w:rsidR="00983AE6" w:rsidRPr="000631CE" w:rsidRDefault="00983AE6" w:rsidP="005F300B">
            <w:pPr>
              <w:rPr>
                <w:rFonts w:cstheme="minorHAnsi"/>
                <w:sz w:val="18"/>
                <w:szCs w:val="18"/>
              </w:rPr>
            </w:pPr>
            <w:r w:rsidRPr="000631CE">
              <w:rPr>
                <w:rFonts w:cstheme="minorHAnsi"/>
                <w:sz w:val="18"/>
                <w:szCs w:val="18"/>
              </w:rPr>
              <w:t>Date of Notice</w:t>
            </w:r>
          </w:p>
        </w:tc>
        <w:tc>
          <w:tcPr>
            <w:tcW w:w="2977" w:type="dxa"/>
            <w:shd w:val="clear" w:color="auto" w:fill="FFFFFF" w:themeFill="background1" w:themeFillTint="33"/>
          </w:tcPr>
          <w:p w14:paraId="4C2F2936" w14:textId="77777777" w:rsidR="00983AE6" w:rsidRPr="000631CE" w:rsidRDefault="00983AE6" w:rsidP="005F300B">
            <w:pPr>
              <w:rPr>
                <w:rFonts w:cstheme="minorHAnsi"/>
                <w:sz w:val="18"/>
                <w:szCs w:val="18"/>
              </w:rPr>
            </w:pPr>
            <w:r w:rsidRPr="000631CE">
              <w:rPr>
                <w:rFonts w:cstheme="minorHAnsi"/>
                <w:sz w:val="18"/>
                <w:szCs w:val="18"/>
              </w:rPr>
              <w:t>5 May 2017</w:t>
            </w:r>
          </w:p>
        </w:tc>
      </w:tr>
    </w:tbl>
    <w:p w14:paraId="459E45C1" w14:textId="64218700" w:rsidR="00983AE6" w:rsidRPr="000631CE" w:rsidRDefault="00983AE6" w:rsidP="00983AE6">
      <w:pPr>
        <w:rPr>
          <w:rFonts w:cstheme="minorHAnsi"/>
          <w:sz w:val="2"/>
          <w:szCs w:val="2"/>
        </w:rPr>
      </w:pPr>
    </w:p>
    <w:tbl>
      <w:tblPr>
        <w:tblStyle w:val="TableGrid"/>
        <w:tblpPr w:leftFromText="180" w:rightFromText="180" w:vertAnchor="text" w:tblpX="-743" w:tblpY="1"/>
        <w:tblOverlap w:val="never"/>
        <w:tblW w:w="0" w:type="auto"/>
        <w:shd w:val="clear" w:color="auto" w:fill="FFFFFF" w:themeFill="background1" w:themeFillTint="33"/>
        <w:tblLook w:val="04A0" w:firstRow="1" w:lastRow="0" w:firstColumn="1" w:lastColumn="0" w:noHBand="0" w:noVBand="1"/>
        <w:tblCaption w:val="Sample - Commonwealth Assistance Notice"/>
        <w:tblDescription w:val="Sample - Commonwealth Assistance Notice"/>
      </w:tblPr>
      <w:tblGrid>
        <w:gridCol w:w="2836"/>
        <w:gridCol w:w="7229"/>
      </w:tblGrid>
      <w:tr w:rsidR="00983AE6" w:rsidRPr="000631CE" w14:paraId="5A802179" w14:textId="77777777" w:rsidTr="005F300B">
        <w:tc>
          <w:tcPr>
            <w:tcW w:w="2836" w:type="dxa"/>
            <w:shd w:val="clear" w:color="auto" w:fill="FFFFFF" w:themeFill="background1" w:themeFillTint="33"/>
            <w:vAlign w:val="center"/>
          </w:tcPr>
          <w:p w14:paraId="63E6E137" w14:textId="77777777" w:rsidR="00983AE6" w:rsidRPr="000631CE" w:rsidRDefault="00983AE6" w:rsidP="005F300B">
            <w:pPr>
              <w:rPr>
                <w:rFonts w:cstheme="minorHAnsi"/>
                <w:sz w:val="18"/>
                <w:szCs w:val="18"/>
              </w:rPr>
            </w:pPr>
            <w:r w:rsidRPr="000631CE">
              <w:rPr>
                <w:rFonts w:cstheme="minorHAnsi"/>
                <w:sz w:val="18"/>
                <w:szCs w:val="18"/>
              </w:rPr>
              <w:t>Student name</w:t>
            </w:r>
          </w:p>
        </w:tc>
        <w:tc>
          <w:tcPr>
            <w:tcW w:w="7229" w:type="dxa"/>
            <w:shd w:val="clear" w:color="auto" w:fill="FFFFFF" w:themeFill="background1" w:themeFillTint="33"/>
            <w:vAlign w:val="center"/>
          </w:tcPr>
          <w:p w14:paraId="2B5AEE99" w14:textId="77777777" w:rsidR="00983AE6" w:rsidRPr="000631CE" w:rsidRDefault="00983AE6" w:rsidP="005F300B">
            <w:pPr>
              <w:rPr>
                <w:rFonts w:cstheme="minorHAnsi"/>
                <w:sz w:val="18"/>
                <w:szCs w:val="18"/>
              </w:rPr>
            </w:pPr>
            <w:r w:rsidRPr="000631CE">
              <w:rPr>
                <w:rFonts w:cstheme="minorHAnsi"/>
                <w:sz w:val="18"/>
                <w:szCs w:val="18"/>
              </w:rPr>
              <w:t>FIRST NAME(S) SURNAME</w:t>
            </w:r>
          </w:p>
        </w:tc>
      </w:tr>
      <w:tr w:rsidR="00983AE6" w:rsidRPr="000631CE" w14:paraId="2C7DF315" w14:textId="77777777" w:rsidTr="005F300B">
        <w:tc>
          <w:tcPr>
            <w:tcW w:w="2836" w:type="dxa"/>
            <w:shd w:val="clear" w:color="auto" w:fill="FFFFFF" w:themeFill="background1" w:themeFillTint="33"/>
            <w:vAlign w:val="center"/>
          </w:tcPr>
          <w:p w14:paraId="0090FA26" w14:textId="77777777" w:rsidR="00983AE6" w:rsidRPr="000631CE" w:rsidRDefault="00983AE6" w:rsidP="005F300B">
            <w:pPr>
              <w:rPr>
                <w:rFonts w:cstheme="minorHAnsi"/>
                <w:sz w:val="18"/>
                <w:szCs w:val="18"/>
              </w:rPr>
            </w:pPr>
            <w:r w:rsidRPr="000631CE">
              <w:rPr>
                <w:rFonts w:cstheme="minorHAnsi"/>
                <w:sz w:val="18"/>
                <w:szCs w:val="18"/>
              </w:rPr>
              <w:t>Residential address</w:t>
            </w:r>
          </w:p>
        </w:tc>
        <w:tc>
          <w:tcPr>
            <w:tcW w:w="7229" w:type="dxa"/>
            <w:shd w:val="clear" w:color="auto" w:fill="FFFFFF" w:themeFill="background1" w:themeFillTint="33"/>
            <w:vAlign w:val="center"/>
          </w:tcPr>
          <w:p w14:paraId="54D93974" w14:textId="06650B73" w:rsidR="00983AE6" w:rsidRPr="000631CE" w:rsidRDefault="00983AE6" w:rsidP="005F300B">
            <w:pPr>
              <w:rPr>
                <w:rFonts w:cstheme="minorHAnsi"/>
                <w:sz w:val="18"/>
                <w:szCs w:val="18"/>
              </w:rPr>
            </w:pPr>
            <w:r w:rsidRPr="000631CE">
              <w:rPr>
                <w:rFonts w:cstheme="minorHAnsi"/>
                <w:sz w:val="18"/>
                <w:szCs w:val="18"/>
              </w:rPr>
              <w:t>STREET SUBURB POSTCODE</w:t>
            </w:r>
          </w:p>
        </w:tc>
      </w:tr>
      <w:tr w:rsidR="00983AE6" w:rsidRPr="000631CE" w14:paraId="4036179A" w14:textId="77777777" w:rsidTr="005F300B">
        <w:tc>
          <w:tcPr>
            <w:tcW w:w="2836" w:type="dxa"/>
            <w:shd w:val="clear" w:color="auto" w:fill="FFFFFF" w:themeFill="background1" w:themeFillTint="33"/>
            <w:vAlign w:val="center"/>
          </w:tcPr>
          <w:p w14:paraId="76E326B2" w14:textId="77777777" w:rsidR="00983AE6" w:rsidRPr="000631CE" w:rsidRDefault="00983AE6" w:rsidP="005F300B">
            <w:pPr>
              <w:rPr>
                <w:rFonts w:cstheme="minorHAnsi"/>
                <w:sz w:val="18"/>
                <w:szCs w:val="18"/>
              </w:rPr>
            </w:pPr>
            <w:r w:rsidRPr="000631CE">
              <w:rPr>
                <w:rFonts w:cstheme="minorHAnsi"/>
                <w:sz w:val="18"/>
                <w:szCs w:val="18"/>
              </w:rPr>
              <w:t>Phone number</w:t>
            </w:r>
          </w:p>
        </w:tc>
        <w:tc>
          <w:tcPr>
            <w:tcW w:w="7229" w:type="dxa"/>
            <w:shd w:val="clear" w:color="auto" w:fill="FFFFFF" w:themeFill="background1" w:themeFillTint="33"/>
            <w:vAlign w:val="center"/>
          </w:tcPr>
          <w:p w14:paraId="0350721B" w14:textId="77777777" w:rsidR="00983AE6" w:rsidRPr="000631CE" w:rsidRDefault="00983AE6" w:rsidP="005F300B">
            <w:pPr>
              <w:rPr>
                <w:rFonts w:cstheme="minorHAnsi"/>
                <w:sz w:val="18"/>
                <w:szCs w:val="18"/>
              </w:rPr>
            </w:pPr>
            <w:r w:rsidRPr="000631CE">
              <w:rPr>
                <w:rFonts w:cstheme="minorHAnsi"/>
                <w:sz w:val="18"/>
                <w:szCs w:val="18"/>
              </w:rPr>
              <w:t xml:space="preserve">XXXX XXX XXX </w:t>
            </w:r>
          </w:p>
        </w:tc>
      </w:tr>
      <w:tr w:rsidR="00983AE6" w:rsidRPr="000631CE" w14:paraId="53C09A78" w14:textId="77777777" w:rsidTr="005F300B">
        <w:tc>
          <w:tcPr>
            <w:tcW w:w="2836" w:type="dxa"/>
            <w:shd w:val="clear" w:color="auto" w:fill="FFFFFF" w:themeFill="background1" w:themeFillTint="33"/>
            <w:vAlign w:val="center"/>
          </w:tcPr>
          <w:p w14:paraId="763445B6" w14:textId="77777777" w:rsidR="00983AE6" w:rsidRPr="000631CE" w:rsidRDefault="00983AE6" w:rsidP="005F300B">
            <w:pPr>
              <w:rPr>
                <w:rFonts w:cstheme="minorHAnsi"/>
                <w:sz w:val="18"/>
                <w:szCs w:val="18"/>
              </w:rPr>
            </w:pPr>
            <w:r w:rsidRPr="000631CE">
              <w:rPr>
                <w:rFonts w:cstheme="minorHAnsi"/>
                <w:sz w:val="18"/>
                <w:szCs w:val="18"/>
              </w:rPr>
              <w:t xml:space="preserve">Personal email </w:t>
            </w:r>
          </w:p>
        </w:tc>
        <w:tc>
          <w:tcPr>
            <w:tcW w:w="7229" w:type="dxa"/>
            <w:shd w:val="clear" w:color="auto" w:fill="FFFFFF" w:themeFill="background1" w:themeFillTint="33"/>
            <w:vAlign w:val="center"/>
          </w:tcPr>
          <w:p w14:paraId="4E6354FF" w14:textId="77777777" w:rsidR="00983AE6" w:rsidRPr="000631CE" w:rsidRDefault="00983AE6" w:rsidP="005F300B">
            <w:pPr>
              <w:rPr>
                <w:rFonts w:cstheme="minorHAnsi"/>
                <w:sz w:val="18"/>
                <w:szCs w:val="18"/>
              </w:rPr>
            </w:pPr>
            <w:r w:rsidRPr="000631CE">
              <w:rPr>
                <w:rFonts w:cstheme="minorHAnsi"/>
                <w:sz w:val="18"/>
                <w:szCs w:val="18"/>
              </w:rPr>
              <w:t>NAME@SERVER.com</w:t>
            </w:r>
          </w:p>
        </w:tc>
      </w:tr>
      <w:tr w:rsidR="00983AE6" w:rsidRPr="000631CE" w14:paraId="0D568235" w14:textId="77777777" w:rsidTr="005F300B">
        <w:tc>
          <w:tcPr>
            <w:tcW w:w="2836" w:type="dxa"/>
            <w:shd w:val="clear" w:color="auto" w:fill="FFFFFF" w:themeFill="background1" w:themeFillTint="33"/>
            <w:vAlign w:val="center"/>
          </w:tcPr>
          <w:p w14:paraId="1EF2D3A6" w14:textId="77777777" w:rsidR="00983AE6" w:rsidRPr="000631CE" w:rsidRDefault="00983AE6" w:rsidP="005F300B">
            <w:pPr>
              <w:rPr>
                <w:rFonts w:cstheme="minorHAnsi"/>
                <w:sz w:val="18"/>
                <w:szCs w:val="18"/>
              </w:rPr>
            </w:pPr>
            <w:r w:rsidRPr="000631CE">
              <w:rPr>
                <w:rFonts w:cstheme="minorHAnsi"/>
                <w:sz w:val="18"/>
                <w:szCs w:val="18"/>
              </w:rPr>
              <w:t>Student ID number</w:t>
            </w:r>
          </w:p>
        </w:tc>
        <w:tc>
          <w:tcPr>
            <w:tcW w:w="7229" w:type="dxa"/>
            <w:shd w:val="clear" w:color="auto" w:fill="FFFFFF" w:themeFill="background1" w:themeFillTint="33"/>
            <w:vAlign w:val="center"/>
          </w:tcPr>
          <w:p w14:paraId="64AE49EA" w14:textId="77777777" w:rsidR="00983AE6" w:rsidRPr="000631CE" w:rsidRDefault="00983AE6" w:rsidP="005F300B">
            <w:pPr>
              <w:rPr>
                <w:rFonts w:cstheme="minorHAnsi"/>
                <w:sz w:val="18"/>
                <w:szCs w:val="18"/>
              </w:rPr>
            </w:pPr>
            <w:r w:rsidRPr="000631CE">
              <w:rPr>
                <w:rFonts w:cstheme="minorHAnsi"/>
                <w:sz w:val="18"/>
                <w:szCs w:val="18"/>
              </w:rPr>
              <w:t>XXXXXX</w:t>
            </w:r>
          </w:p>
        </w:tc>
      </w:tr>
      <w:tr w:rsidR="00983AE6" w:rsidRPr="000631CE" w14:paraId="2422B485" w14:textId="77777777" w:rsidTr="005F300B">
        <w:tc>
          <w:tcPr>
            <w:tcW w:w="2836" w:type="dxa"/>
            <w:shd w:val="clear" w:color="auto" w:fill="FFFFFF" w:themeFill="background1" w:themeFillTint="33"/>
            <w:vAlign w:val="center"/>
          </w:tcPr>
          <w:p w14:paraId="4ACDE9D2" w14:textId="77777777" w:rsidR="00983AE6" w:rsidRPr="000631CE" w:rsidRDefault="00983AE6" w:rsidP="005F300B">
            <w:pPr>
              <w:rPr>
                <w:rFonts w:cstheme="minorHAnsi"/>
                <w:sz w:val="18"/>
                <w:szCs w:val="18"/>
              </w:rPr>
            </w:pPr>
            <w:r w:rsidRPr="000631CE">
              <w:rPr>
                <w:rFonts w:cstheme="minorHAnsi"/>
                <w:sz w:val="18"/>
                <w:szCs w:val="18"/>
              </w:rPr>
              <w:t>CHESSN</w:t>
            </w:r>
          </w:p>
        </w:tc>
        <w:tc>
          <w:tcPr>
            <w:tcW w:w="7229" w:type="dxa"/>
            <w:shd w:val="clear" w:color="auto" w:fill="FFFFFF" w:themeFill="background1" w:themeFillTint="33"/>
            <w:vAlign w:val="center"/>
          </w:tcPr>
          <w:p w14:paraId="588FEA77" w14:textId="77777777" w:rsidR="00983AE6" w:rsidRPr="000631CE" w:rsidRDefault="00983AE6" w:rsidP="005F300B">
            <w:pPr>
              <w:rPr>
                <w:rFonts w:cstheme="minorHAnsi"/>
                <w:sz w:val="18"/>
                <w:szCs w:val="18"/>
              </w:rPr>
            </w:pPr>
            <w:r w:rsidRPr="000631CE">
              <w:rPr>
                <w:rFonts w:cstheme="minorHAnsi"/>
                <w:sz w:val="18"/>
                <w:szCs w:val="18"/>
              </w:rPr>
              <w:t>XXXXXXXXXX</w:t>
            </w:r>
          </w:p>
        </w:tc>
      </w:tr>
      <w:tr w:rsidR="00983AE6" w:rsidRPr="000631CE" w14:paraId="06BD2A48" w14:textId="77777777" w:rsidTr="005F300B">
        <w:tc>
          <w:tcPr>
            <w:tcW w:w="2836" w:type="dxa"/>
            <w:shd w:val="clear" w:color="auto" w:fill="FFFFFF" w:themeFill="background1" w:themeFillTint="33"/>
            <w:vAlign w:val="center"/>
          </w:tcPr>
          <w:p w14:paraId="62740B43" w14:textId="77777777" w:rsidR="00983AE6" w:rsidRPr="000631CE" w:rsidRDefault="00983AE6" w:rsidP="005F300B">
            <w:pPr>
              <w:rPr>
                <w:rFonts w:cstheme="minorHAnsi"/>
                <w:sz w:val="18"/>
                <w:szCs w:val="18"/>
              </w:rPr>
            </w:pPr>
            <w:r w:rsidRPr="000631CE">
              <w:rPr>
                <w:rFonts w:cstheme="minorHAnsi"/>
                <w:sz w:val="18"/>
                <w:szCs w:val="18"/>
              </w:rPr>
              <w:t>USI</w:t>
            </w:r>
          </w:p>
        </w:tc>
        <w:tc>
          <w:tcPr>
            <w:tcW w:w="7229" w:type="dxa"/>
            <w:shd w:val="clear" w:color="auto" w:fill="FFFFFF" w:themeFill="background1" w:themeFillTint="33"/>
            <w:vAlign w:val="center"/>
          </w:tcPr>
          <w:p w14:paraId="18E0E4FB" w14:textId="77777777" w:rsidR="00983AE6" w:rsidRPr="000631CE" w:rsidRDefault="00983AE6" w:rsidP="005F300B">
            <w:pPr>
              <w:rPr>
                <w:rFonts w:cstheme="minorHAnsi"/>
                <w:sz w:val="18"/>
                <w:szCs w:val="18"/>
              </w:rPr>
            </w:pPr>
            <w:r w:rsidRPr="000631CE">
              <w:rPr>
                <w:rFonts w:cstheme="minorHAnsi"/>
                <w:sz w:val="18"/>
                <w:szCs w:val="18"/>
              </w:rPr>
              <w:t>3AT88DH9U5</w:t>
            </w:r>
          </w:p>
        </w:tc>
      </w:tr>
    </w:tbl>
    <w:p w14:paraId="220BCF5E" w14:textId="3A0EC4EF" w:rsidR="00983AE6" w:rsidRPr="000631CE" w:rsidRDefault="00983AE6" w:rsidP="00983AE6">
      <w:pPr>
        <w:rPr>
          <w:rFonts w:cstheme="minorHAnsi"/>
          <w:sz w:val="2"/>
          <w:szCs w:val="2"/>
        </w:rPr>
      </w:pPr>
    </w:p>
    <w:tbl>
      <w:tblPr>
        <w:tblStyle w:val="TableGrid"/>
        <w:tblpPr w:leftFromText="180" w:rightFromText="180" w:vertAnchor="text" w:tblpX="-743" w:tblpY="1"/>
        <w:tblOverlap w:val="never"/>
        <w:tblW w:w="0" w:type="auto"/>
        <w:shd w:val="clear" w:color="auto" w:fill="FFFFFF" w:themeFill="background1" w:themeFillTint="33"/>
        <w:tblLook w:val="04A0" w:firstRow="1" w:lastRow="0" w:firstColumn="1" w:lastColumn="0" w:noHBand="0" w:noVBand="1"/>
        <w:tblCaption w:val="Sample - Commonwealth Assistance Notice"/>
        <w:tblDescription w:val="Sample - Commonwealth Assistance Notice"/>
      </w:tblPr>
      <w:tblGrid>
        <w:gridCol w:w="2836"/>
        <w:gridCol w:w="7229"/>
      </w:tblGrid>
      <w:tr w:rsidR="00983AE6" w:rsidRPr="000631CE" w14:paraId="6D3E5458" w14:textId="77777777" w:rsidTr="005F300B">
        <w:tc>
          <w:tcPr>
            <w:tcW w:w="2836" w:type="dxa"/>
            <w:shd w:val="clear" w:color="auto" w:fill="FFFFFF" w:themeFill="background1" w:themeFillTint="33"/>
            <w:vAlign w:val="center"/>
          </w:tcPr>
          <w:p w14:paraId="3A1F205E" w14:textId="77777777" w:rsidR="00983AE6" w:rsidRPr="000631CE" w:rsidRDefault="00983AE6" w:rsidP="005F300B">
            <w:pPr>
              <w:rPr>
                <w:rFonts w:cstheme="minorHAnsi"/>
                <w:sz w:val="18"/>
                <w:szCs w:val="18"/>
              </w:rPr>
            </w:pPr>
            <w:r w:rsidRPr="000631CE">
              <w:rPr>
                <w:rFonts w:cstheme="minorHAnsi"/>
                <w:sz w:val="18"/>
                <w:szCs w:val="18"/>
              </w:rPr>
              <w:t>Provider name</w:t>
            </w:r>
          </w:p>
        </w:tc>
        <w:tc>
          <w:tcPr>
            <w:tcW w:w="7229" w:type="dxa"/>
            <w:shd w:val="clear" w:color="auto" w:fill="FFFFFF" w:themeFill="background1" w:themeFillTint="33"/>
            <w:vAlign w:val="center"/>
          </w:tcPr>
          <w:p w14:paraId="57297A1B" w14:textId="77777777" w:rsidR="00983AE6" w:rsidRPr="000631CE" w:rsidRDefault="00983AE6" w:rsidP="005F300B">
            <w:pPr>
              <w:rPr>
                <w:rFonts w:cstheme="minorHAnsi"/>
                <w:sz w:val="18"/>
                <w:szCs w:val="18"/>
              </w:rPr>
            </w:pPr>
            <w:r w:rsidRPr="000631CE">
              <w:rPr>
                <w:rFonts w:cstheme="minorHAnsi"/>
                <w:sz w:val="18"/>
                <w:szCs w:val="18"/>
              </w:rPr>
              <w:t>ABC Training</w:t>
            </w:r>
          </w:p>
        </w:tc>
      </w:tr>
      <w:tr w:rsidR="00983AE6" w:rsidRPr="000631CE" w14:paraId="28DEDF60" w14:textId="77777777" w:rsidTr="005F300B">
        <w:tc>
          <w:tcPr>
            <w:tcW w:w="2836" w:type="dxa"/>
            <w:shd w:val="clear" w:color="auto" w:fill="FFFFFF" w:themeFill="background1" w:themeFillTint="33"/>
            <w:vAlign w:val="center"/>
          </w:tcPr>
          <w:p w14:paraId="0B369B73" w14:textId="77777777" w:rsidR="00983AE6" w:rsidRPr="000631CE" w:rsidRDefault="00983AE6" w:rsidP="005F300B">
            <w:pPr>
              <w:rPr>
                <w:rFonts w:cstheme="minorHAnsi"/>
                <w:sz w:val="18"/>
                <w:szCs w:val="18"/>
              </w:rPr>
            </w:pPr>
            <w:r w:rsidRPr="000631CE">
              <w:rPr>
                <w:rFonts w:cstheme="minorHAnsi"/>
                <w:sz w:val="18"/>
                <w:szCs w:val="18"/>
              </w:rPr>
              <w:t>Business name(s)</w:t>
            </w:r>
          </w:p>
        </w:tc>
        <w:tc>
          <w:tcPr>
            <w:tcW w:w="7229" w:type="dxa"/>
            <w:shd w:val="clear" w:color="auto" w:fill="FFFFFF" w:themeFill="background1" w:themeFillTint="33"/>
            <w:vAlign w:val="center"/>
          </w:tcPr>
          <w:p w14:paraId="48F63869" w14:textId="77777777" w:rsidR="00983AE6" w:rsidRPr="000631CE" w:rsidRDefault="00983AE6" w:rsidP="005F300B">
            <w:pPr>
              <w:rPr>
                <w:rFonts w:cstheme="minorHAnsi"/>
                <w:sz w:val="18"/>
                <w:szCs w:val="18"/>
              </w:rPr>
            </w:pPr>
            <w:r w:rsidRPr="000631CE">
              <w:rPr>
                <w:rFonts w:cstheme="minorHAnsi"/>
                <w:sz w:val="18"/>
                <w:szCs w:val="18"/>
              </w:rPr>
              <w:t>Training Pathways</w:t>
            </w:r>
          </w:p>
        </w:tc>
      </w:tr>
      <w:tr w:rsidR="00983AE6" w:rsidRPr="000631CE" w14:paraId="4007A9FC" w14:textId="77777777" w:rsidTr="005F300B">
        <w:tc>
          <w:tcPr>
            <w:tcW w:w="2836" w:type="dxa"/>
            <w:shd w:val="clear" w:color="auto" w:fill="FFFFFF" w:themeFill="background1" w:themeFillTint="33"/>
            <w:vAlign w:val="center"/>
          </w:tcPr>
          <w:p w14:paraId="092C2771" w14:textId="77777777" w:rsidR="00983AE6" w:rsidRPr="000631CE" w:rsidRDefault="00983AE6" w:rsidP="005F300B">
            <w:pPr>
              <w:rPr>
                <w:rFonts w:cstheme="minorHAnsi"/>
                <w:sz w:val="18"/>
                <w:szCs w:val="18"/>
              </w:rPr>
            </w:pPr>
            <w:r w:rsidRPr="000631CE">
              <w:rPr>
                <w:rFonts w:cstheme="minorHAnsi"/>
                <w:sz w:val="18"/>
                <w:szCs w:val="18"/>
              </w:rPr>
              <w:t>RTO code</w:t>
            </w:r>
          </w:p>
        </w:tc>
        <w:tc>
          <w:tcPr>
            <w:tcW w:w="7229" w:type="dxa"/>
            <w:shd w:val="clear" w:color="auto" w:fill="FFFFFF" w:themeFill="background1" w:themeFillTint="33"/>
            <w:vAlign w:val="center"/>
          </w:tcPr>
          <w:p w14:paraId="7DF1CB0D" w14:textId="77777777" w:rsidR="00983AE6" w:rsidRPr="000631CE" w:rsidRDefault="00983AE6" w:rsidP="005F300B">
            <w:pPr>
              <w:rPr>
                <w:rFonts w:cstheme="minorHAnsi"/>
                <w:sz w:val="18"/>
                <w:szCs w:val="18"/>
              </w:rPr>
            </w:pPr>
            <w:r w:rsidRPr="000631CE">
              <w:rPr>
                <w:rFonts w:cstheme="minorHAnsi"/>
                <w:sz w:val="18"/>
                <w:szCs w:val="18"/>
              </w:rPr>
              <w:t>XXXX</w:t>
            </w:r>
          </w:p>
        </w:tc>
      </w:tr>
    </w:tbl>
    <w:p w14:paraId="0110F08F" w14:textId="6A6832CD" w:rsidR="00983AE6" w:rsidRPr="000631CE" w:rsidRDefault="00E066E6" w:rsidP="00983AE6">
      <w:pPr>
        <w:rPr>
          <w:rFonts w:cstheme="minorHAnsi"/>
          <w:sz w:val="12"/>
          <w:szCs w:val="12"/>
        </w:rPr>
      </w:pPr>
      <w:r w:rsidRPr="000631CE">
        <w:rPr>
          <w:rFonts w:cstheme="minorHAnsi"/>
          <w:noProof/>
          <w:sz w:val="12"/>
          <w:szCs w:val="12"/>
          <w:lang w:eastAsia="en-AU"/>
        </w:rPr>
        <mc:AlternateContent>
          <mc:Choice Requires="wps">
            <w:drawing>
              <wp:anchor distT="0" distB="0" distL="114300" distR="114300" simplePos="0" relativeHeight="251660288" behindDoc="0" locked="0" layoutInCell="1" allowOverlap="1" wp14:anchorId="7E26B96F" wp14:editId="3D9B7433">
                <wp:simplePos x="0" y="0"/>
                <wp:positionH relativeFrom="page">
                  <wp:align>right</wp:align>
                </wp:positionH>
                <wp:positionV relativeFrom="paragraph">
                  <wp:posOffset>8890</wp:posOffset>
                </wp:positionV>
                <wp:extent cx="3098800" cy="1205865"/>
                <wp:effectExtent l="0" t="0" r="25400" b="13335"/>
                <wp:wrapNone/>
                <wp:docPr id="307" name="Text Box 2" descr="Sample - Commonwealth Assistance Notice" title="Sample - Commonwealth Assistance Noti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205865"/>
                        </a:xfrm>
                        <a:prstGeom prst="rect">
                          <a:avLst/>
                        </a:prstGeom>
                        <a:solidFill>
                          <a:srgbClr val="FFFFFF"/>
                        </a:solidFill>
                        <a:ln w="9525">
                          <a:solidFill>
                            <a:srgbClr val="000000"/>
                          </a:solidFill>
                          <a:miter lim="800000"/>
                          <a:headEnd/>
                          <a:tailEnd/>
                        </a:ln>
                      </wps:spPr>
                      <wps:txbx>
                        <w:txbxContent>
                          <w:p w14:paraId="4AEB4981" w14:textId="77777777" w:rsidR="0012240F" w:rsidRPr="005A1011" w:rsidRDefault="0012240F" w:rsidP="00983AE6">
                            <w:pPr>
                              <w:jc w:val="center"/>
                            </w:pPr>
                            <w:r w:rsidRPr="005A1011">
                              <w:t>IMPORTANT INFORMATION</w:t>
                            </w:r>
                          </w:p>
                          <w:p w14:paraId="3F6FC337" w14:textId="77777777" w:rsidR="0012240F" w:rsidRPr="005039FE" w:rsidRDefault="0012240F" w:rsidP="00983AE6">
                            <w:pPr>
                              <w:jc w:val="center"/>
                              <w:rPr>
                                <w:rFonts w:ascii="Arial" w:hAnsi="Arial" w:cs="Arial"/>
                                <w:sz w:val="18"/>
                                <w:szCs w:val="18"/>
                              </w:rPr>
                            </w:pPr>
                            <w:r>
                              <w:rPr>
                                <w:rFonts w:ascii="Arial" w:hAnsi="Arial" w:cs="Arial"/>
                                <w:sz w:val="18"/>
                                <w:szCs w:val="18"/>
                              </w:rPr>
                              <w:t xml:space="preserve">If you believe </w:t>
                            </w:r>
                            <w:r w:rsidRPr="003216A4">
                              <w:rPr>
                                <w:rFonts w:ascii="Arial" w:hAnsi="Arial" w:cs="Arial"/>
                                <w:sz w:val="18"/>
                                <w:szCs w:val="18"/>
                              </w:rPr>
                              <w:t>that</w:t>
                            </w:r>
                            <w:r>
                              <w:rPr>
                                <w:rFonts w:ascii="Arial" w:hAnsi="Arial" w:cs="Arial"/>
                                <w:sz w:val="18"/>
                                <w:szCs w:val="18"/>
                              </w:rPr>
                              <w:t xml:space="preserve"> any information contained in this notice is incorrect, y</w:t>
                            </w:r>
                            <w:r w:rsidRPr="005039FE">
                              <w:rPr>
                                <w:rFonts w:ascii="Arial" w:hAnsi="Arial" w:cs="Arial"/>
                                <w:sz w:val="18"/>
                                <w:szCs w:val="18"/>
                              </w:rPr>
                              <w:t xml:space="preserve">ou </w:t>
                            </w:r>
                            <w:r w:rsidRPr="003216A4">
                              <w:rPr>
                                <w:rFonts w:ascii="Arial" w:hAnsi="Arial" w:cs="Arial"/>
                                <w:sz w:val="18"/>
                                <w:szCs w:val="18"/>
                              </w:rPr>
                              <w:t>have</w:t>
                            </w:r>
                            <w:r w:rsidRPr="005039FE">
                              <w:rPr>
                                <w:rFonts w:ascii="Arial" w:hAnsi="Arial" w:cs="Arial"/>
                                <w:sz w:val="18"/>
                                <w:szCs w:val="18"/>
                              </w:rPr>
                              <w:t xml:space="preserve"> the right to request a correction in accordance with [name of provider]’s information management procedure</w:t>
                            </w:r>
                            <w:r>
                              <w:rPr>
                                <w:rFonts w:ascii="Arial" w:hAnsi="Arial" w:cs="Arial"/>
                                <w:sz w:val="18"/>
                                <w:szCs w:val="18"/>
                              </w:rPr>
                              <w:t xml:space="preserve"> which is available here [insert URL].</w:t>
                            </w:r>
                          </w:p>
                          <w:p w14:paraId="3DA0E2C2" w14:textId="77777777" w:rsidR="0012240F" w:rsidRDefault="0012240F" w:rsidP="00983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B96F" id="_x0000_s1029" type="#_x0000_t202" alt="Title: Sample - Commonwealth Assistance Notice - Description: Sample - Commonwealth Assistance Notice" style="position:absolute;margin-left:192.8pt;margin-top:.7pt;width:244pt;height:94.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">
                <v:textbox>
                  <w:txbxContent>
                    <w:p w14:paraId="4AEB4981" w14:textId="77777777" w:rsidR="0012240F" w:rsidRPr="005A1011" w:rsidRDefault="0012240F" w:rsidP="00983AE6">
                      <w:pPr>
                        <w:jc w:val="center"/>
                      </w:pPr>
                      <w:r w:rsidRPr="005A1011">
                        <w:t>IMPORTANT INFORMATION</w:t>
                      </w:r>
                    </w:p>
                    <w:p w14:paraId="3F6FC337" w14:textId="77777777" w:rsidR="0012240F" w:rsidRPr="005039FE" w:rsidRDefault="0012240F" w:rsidP="00983AE6">
                      <w:pPr>
                        <w:jc w:val="center"/>
                        <w:rPr>
                          <w:rFonts w:ascii="Arial" w:hAnsi="Arial" w:cs="Arial"/>
                          <w:sz w:val="18"/>
                          <w:szCs w:val="18"/>
                        </w:rPr>
                      </w:pPr>
                      <w:r>
                        <w:rPr>
                          <w:rFonts w:ascii="Arial" w:hAnsi="Arial" w:cs="Arial"/>
                          <w:sz w:val="18"/>
                          <w:szCs w:val="18"/>
                        </w:rPr>
                        <w:t xml:space="preserve">If you believe </w:t>
                      </w:r>
                      <w:r w:rsidRPr="003216A4">
                        <w:rPr>
                          <w:rFonts w:ascii="Arial" w:hAnsi="Arial" w:cs="Arial"/>
                          <w:sz w:val="18"/>
                          <w:szCs w:val="18"/>
                        </w:rPr>
                        <w:t>that</w:t>
                      </w:r>
                      <w:r>
                        <w:rPr>
                          <w:rFonts w:ascii="Arial" w:hAnsi="Arial" w:cs="Arial"/>
                          <w:sz w:val="18"/>
                          <w:szCs w:val="18"/>
                        </w:rPr>
                        <w:t xml:space="preserve"> any information contained in this notice is incorrect, y</w:t>
                      </w:r>
                      <w:r w:rsidRPr="005039FE">
                        <w:rPr>
                          <w:rFonts w:ascii="Arial" w:hAnsi="Arial" w:cs="Arial"/>
                          <w:sz w:val="18"/>
                          <w:szCs w:val="18"/>
                        </w:rPr>
                        <w:t xml:space="preserve">ou </w:t>
                      </w:r>
                      <w:r w:rsidRPr="003216A4">
                        <w:rPr>
                          <w:rFonts w:ascii="Arial" w:hAnsi="Arial" w:cs="Arial"/>
                          <w:sz w:val="18"/>
                          <w:szCs w:val="18"/>
                        </w:rPr>
                        <w:t>have</w:t>
                      </w:r>
                      <w:r w:rsidRPr="005039FE">
                        <w:rPr>
                          <w:rFonts w:ascii="Arial" w:hAnsi="Arial" w:cs="Arial"/>
                          <w:sz w:val="18"/>
                          <w:szCs w:val="18"/>
                        </w:rPr>
                        <w:t xml:space="preserve"> the right to request a correction in accordance with [name of provider]’s information management procedure</w:t>
                      </w:r>
                      <w:r>
                        <w:rPr>
                          <w:rFonts w:ascii="Arial" w:hAnsi="Arial" w:cs="Arial"/>
                          <w:sz w:val="18"/>
                          <w:szCs w:val="18"/>
                        </w:rPr>
                        <w:t xml:space="preserve"> which is available here [insert URL].</w:t>
                      </w:r>
                    </w:p>
                    <w:p w14:paraId="3DA0E2C2" w14:textId="77777777" w:rsidR="0012240F" w:rsidRDefault="0012240F" w:rsidP="00983AE6"/>
                  </w:txbxContent>
                </v:textbox>
                <w10:wrap anchorx="page"/>
              </v:shape>
            </w:pict>
          </mc:Fallback>
        </mc:AlternateContent>
      </w:r>
    </w:p>
    <w:tbl>
      <w:tblPr>
        <w:tblStyle w:val="TableGrid"/>
        <w:tblW w:w="15796" w:type="dxa"/>
        <w:tblInd w:w="-804" w:type="dxa"/>
        <w:shd w:val="clear" w:color="auto" w:fill="FFFFFF" w:themeFill="background1" w:themeFillTint="33"/>
        <w:tblLook w:val="04A0" w:firstRow="1" w:lastRow="0" w:firstColumn="1" w:lastColumn="0" w:noHBand="0" w:noVBand="1"/>
        <w:tblCaption w:val="Sample - Commonwealth Assistance Notice"/>
        <w:tblDescription w:val="Sample - Commonwealth Assistance Notice"/>
      </w:tblPr>
      <w:tblGrid>
        <w:gridCol w:w="1008"/>
        <w:gridCol w:w="2016"/>
        <w:gridCol w:w="1674"/>
        <w:gridCol w:w="1881"/>
        <w:gridCol w:w="1795"/>
        <w:gridCol w:w="1512"/>
        <w:gridCol w:w="1234"/>
        <w:gridCol w:w="1699"/>
        <w:gridCol w:w="1418"/>
        <w:gridCol w:w="1559"/>
      </w:tblGrid>
      <w:tr w:rsidR="00983AE6" w:rsidRPr="000631CE" w14:paraId="42E0E6CD" w14:textId="77777777" w:rsidTr="005F300B">
        <w:tc>
          <w:tcPr>
            <w:tcW w:w="1008" w:type="dxa"/>
            <w:shd w:val="clear" w:color="auto" w:fill="24206B"/>
            <w:vAlign w:val="center"/>
          </w:tcPr>
          <w:p w14:paraId="01E9406C" w14:textId="77777777" w:rsidR="00983AE6" w:rsidRPr="00983AE6" w:rsidRDefault="00983AE6" w:rsidP="00983AE6">
            <w:pPr>
              <w:pStyle w:val="Tableheading"/>
              <w:rPr>
                <w:sz w:val="20"/>
              </w:rPr>
            </w:pPr>
            <w:r w:rsidRPr="00983AE6">
              <w:rPr>
                <w:sz w:val="20"/>
              </w:rPr>
              <w:t>Course code</w:t>
            </w:r>
          </w:p>
        </w:tc>
        <w:tc>
          <w:tcPr>
            <w:tcW w:w="2016" w:type="dxa"/>
            <w:shd w:val="clear" w:color="auto" w:fill="24206B"/>
            <w:vAlign w:val="center"/>
          </w:tcPr>
          <w:p w14:paraId="6C5911A0" w14:textId="77777777" w:rsidR="00983AE6" w:rsidRPr="00983AE6" w:rsidRDefault="00983AE6" w:rsidP="00983AE6">
            <w:pPr>
              <w:pStyle w:val="Tableheading"/>
              <w:rPr>
                <w:sz w:val="20"/>
              </w:rPr>
            </w:pPr>
            <w:r w:rsidRPr="00983AE6">
              <w:rPr>
                <w:sz w:val="20"/>
              </w:rPr>
              <w:t>Course name</w:t>
            </w:r>
          </w:p>
        </w:tc>
        <w:tc>
          <w:tcPr>
            <w:tcW w:w="1674" w:type="dxa"/>
            <w:shd w:val="clear" w:color="auto" w:fill="24206B"/>
            <w:vAlign w:val="center"/>
          </w:tcPr>
          <w:p w14:paraId="30061AC7" w14:textId="77777777" w:rsidR="00983AE6" w:rsidRPr="00983AE6" w:rsidRDefault="00983AE6" w:rsidP="00983AE6">
            <w:pPr>
              <w:pStyle w:val="Tableheading"/>
              <w:rPr>
                <w:sz w:val="20"/>
              </w:rPr>
            </w:pPr>
            <w:r w:rsidRPr="00983AE6">
              <w:rPr>
                <w:sz w:val="20"/>
              </w:rPr>
              <w:t>Unit/part course code</w:t>
            </w:r>
          </w:p>
        </w:tc>
        <w:tc>
          <w:tcPr>
            <w:tcW w:w="1881" w:type="dxa"/>
            <w:shd w:val="clear" w:color="auto" w:fill="24206B"/>
            <w:vAlign w:val="center"/>
          </w:tcPr>
          <w:p w14:paraId="753E01F5" w14:textId="77777777" w:rsidR="00983AE6" w:rsidRPr="00983AE6" w:rsidRDefault="00983AE6" w:rsidP="00983AE6">
            <w:pPr>
              <w:pStyle w:val="Tableheading"/>
              <w:rPr>
                <w:sz w:val="20"/>
              </w:rPr>
            </w:pPr>
            <w:r w:rsidRPr="00983AE6">
              <w:rPr>
                <w:sz w:val="20"/>
              </w:rPr>
              <w:t>Unit/part course name</w:t>
            </w:r>
          </w:p>
        </w:tc>
        <w:tc>
          <w:tcPr>
            <w:tcW w:w="1795" w:type="dxa"/>
            <w:shd w:val="clear" w:color="auto" w:fill="24206B"/>
            <w:vAlign w:val="center"/>
          </w:tcPr>
          <w:p w14:paraId="66DE00A6" w14:textId="77777777" w:rsidR="00983AE6" w:rsidRPr="00983AE6" w:rsidRDefault="00983AE6" w:rsidP="00983AE6">
            <w:pPr>
              <w:pStyle w:val="Tableheading"/>
              <w:rPr>
                <w:sz w:val="20"/>
              </w:rPr>
            </w:pPr>
            <w:r w:rsidRPr="00983AE6">
              <w:rPr>
                <w:sz w:val="20"/>
              </w:rPr>
              <w:t>Census day/upfront payment date</w:t>
            </w:r>
          </w:p>
        </w:tc>
        <w:tc>
          <w:tcPr>
            <w:tcW w:w="1512" w:type="dxa"/>
            <w:shd w:val="clear" w:color="auto" w:fill="24206B"/>
            <w:vAlign w:val="center"/>
          </w:tcPr>
          <w:p w14:paraId="6DCBC8D4" w14:textId="77777777" w:rsidR="00983AE6" w:rsidRPr="00983AE6" w:rsidRDefault="00983AE6" w:rsidP="00983AE6">
            <w:pPr>
              <w:pStyle w:val="Tableheading"/>
              <w:rPr>
                <w:sz w:val="20"/>
              </w:rPr>
            </w:pPr>
            <w:r w:rsidRPr="00983AE6">
              <w:rPr>
                <w:sz w:val="20"/>
              </w:rPr>
              <w:t>Tuition fee covered by VSL</w:t>
            </w:r>
          </w:p>
        </w:tc>
        <w:tc>
          <w:tcPr>
            <w:tcW w:w="1234" w:type="dxa"/>
            <w:shd w:val="clear" w:color="auto" w:fill="24206B"/>
            <w:vAlign w:val="center"/>
          </w:tcPr>
          <w:p w14:paraId="3DE455C4" w14:textId="77777777" w:rsidR="00983AE6" w:rsidRPr="00983AE6" w:rsidRDefault="00983AE6" w:rsidP="00983AE6">
            <w:pPr>
              <w:pStyle w:val="Tableheading"/>
              <w:rPr>
                <w:sz w:val="20"/>
              </w:rPr>
            </w:pPr>
            <w:r w:rsidRPr="00983AE6">
              <w:rPr>
                <w:sz w:val="20"/>
              </w:rPr>
              <w:t>Loan fee</w:t>
            </w:r>
          </w:p>
        </w:tc>
        <w:tc>
          <w:tcPr>
            <w:tcW w:w="1699" w:type="dxa"/>
            <w:shd w:val="clear" w:color="auto" w:fill="24206B"/>
            <w:vAlign w:val="center"/>
          </w:tcPr>
          <w:p w14:paraId="7BBB17A4" w14:textId="77777777" w:rsidR="00983AE6" w:rsidRPr="00983AE6" w:rsidRDefault="00983AE6" w:rsidP="00983AE6">
            <w:pPr>
              <w:pStyle w:val="Tableheading"/>
              <w:rPr>
                <w:sz w:val="20"/>
              </w:rPr>
            </w:pPr>
            <w:r w:rsidRPr="00983AE6">
              <w:rPr>
                <w:sz w:val="20"/>
              </w:rPr>
              <w:t>Tuition fee payable by student upfront (i.e. not covered by VSL)</w:t>
            </w:r>
          </w:p>
        </w:tc>
        <w:tc>
          <w:tcPr>
            <w:tcW w:w="1418" w:type="dxa"/>
            <w:shd w:val="clear" w:color="auto" w:fill="24206B"/>
            <w:vAlign w:val="center"/>
          </w:tcPr>
          <w:p w14:paraId="5386EDCE" w14:textId="77777777" w:rsidR="00983AE6" w:rsidRPr="00983AE6" w:rsidRDefault="00983AE6" w:rsidP="00983AE6">
            <w:pPr>
              <w:pStyle w:val="Tableheading"/>
              <w:rPr>
                <w:sz w:val="20"/>
              </w:rPr>
            </w:pPr>
            <w:r w:rsidRPr="00983AE6">
              <w:rPr>
                <w:sz w:val="20"/>
              </w:rPr>
              <w:t>Tuition fees already paid by student upfront</w:t>
            </w:r>
          </w:p>
        </w:tc>
        <w:tc>
          <w:tcPr>
            <w:tcW w:w="1559" w:type="dxa"/>
            <w:shd w:val="clear" w:color="auto" w:fill="24206B"/>
            <w:vAlign w:val="center"/>
          </w:tcPr>
          <w:p w14:paraId="7A5DE228" w14:textId="77777777" w:rsidR="00983AE6" w:rsidRPr="00983AE6" w:rsidRDefault="00983AE6" w:rsidP="00983AE6">
            <w:pPr>
              <w:pStyle w:val="Tableheading"/>
              <w:rPr>
                <w:sz w:val="20"/>
              </w:rPr>
            </w:pPr>
            <w:r w:rsidRPr="00983AE6">
              <w:rPr>
                <w:sz w:val="20"/>
              </w:rPr>
              <w:t>Tuition fees payable by student upfront by upfront payment date</w:t>
            </w:r>
          </w:p>
          <w:p w14:paraId="7EBA0F10" w14:textId="77777777" w:rsidR="00983AE6" w:rsidRPr="00983AE6" w:rsidRDefault="00983AE6" w:rsidP="00983AE6">
            <w:pPr>
              <w:pStyle w:val="Tableheading"/>
              <w:rPr>
                <w:sz w:val="20"/>
              </w:rPr>
            </w:pPr>
          </w:p>
        </w:tc>
      </w:tr>
      <w:tr w:rsidR="00CF77FB" w:rsidRPr="000631CE" w14:paraId="7EC82296" w14:textId="77777777" w:rsidTr="005F300B">
        <w:trPr>
          <w:trHeight w:val="451"/>
        </w:trPr>
        <w:tc>
          <w:tcPr>
            <w:tcW w:w="1008" w:type="dxa"/>
            <w:shd w:val="clear" w:color="auto" w:fill="FFFFFF" w:themeFill="background1" w:themeFillTint="33"/>
            <w:vAlign w:val="center"/>
          </w:tcPr>
          <w:p w14:paraId="49032867" w14:textId="77777777" w:rsidR="00CF77FB" w:rsidRPr="000631CE" w:rsidRDefault="00CF77FB" w:rsidP="00CF77FB">
            <w:pPr>
              <w:rPr>
                <w:rFonts w:cstheme="minorHAnsi"/>
                <w:sz w:val="18"/>
                <w:szCs w:val="18"/>
              </w:rPr>
            </w:pPr>
            <w:r w:rsidRPr="000631CE">
              <w:rPr>
                <w:rFonts w:cstheme="minorHAnsi"/>
                <w:sz w:val="18"/>
                <w:szCs w:val="18"/>
              </w:rPr>
              <w:t>ICT50115</w:t>
            </w:r>
          </w:p>
        </w:tc>
        <w:tc>
          <w:tcPr>
            <w:tcW w:w="2016" w:type="dxa"/>
            <w:shd w:val="clear" w:color="auto" w:fill="FFFFFF" w:themeFill="background1" w:themeFillTint="33"/>
            <w:vAlign w:val="center"/>
          </w:tcPr>
          <w:p w14:paraId="1931E0C5" w14:textId="77777777" w:rsidR="00CF77FB" w:rsidRPr="000631CE" w:rsidRDefault="00CF77FB" w:rsidP="00CF77FB">
            <w:pPr>
              <w:rPr>
                <w:rFonts w:cstheme="minorHAnsi"/>
                <w:sz w:val="18"/>
                <w:szCs w:val="18"/>
              </w:rPr>
            </w:pPr>
            <w:r w:rsidRPr="000631CE">
              <w:rPr>
                <w:rFonts w:cstheme="minorHAnsi"/>
                <w:sz w:val="18"/>
                <w:szCs w:val="18"/>
              </w:rPr>
              <w:t>Dip of Information Technology</w:t>
            </w:r>
          </w:p>
        </w:tc>
        <w:tc>
          <w:tcPr>
            <w:tcW w:w="1674" w:type="dxa"/>
            <w:shd w:val="clear" w:color="auto" w:fill="FFFFFF" w:themeFill="background1" w:themeFillTint="33"/>
            <w:vAlign w:val="center"/>
          </w:tcPr>
          <w:p w14:paraId="2988A7E1" w14:textId="77777777" w:rsidR="00CF77FB" w:rsidRPr="000631CE" w:rsidRDefault="0016765E" w:rsidP="00CF77FB">
            <w:pPr>
              <w:rPr>
                <w:rFonts w:cstheme="minorHAnsi"/>
                <w:sz w:val="18"/>
                <w:szCs w:val="18"/>
              </w:rPr>
            </w:pPr>
            <w:hyperlink r:id="rId126" w:tooltip="View details for unit code BSBCRT501" w:history="1">
              <w:r w:rsidR="00CF77FB" w:rsidRPr="000631CE">
                <w:rPr>
                  <w:rFonts w:cstheme="minorHAnsi"/>
                  <w:sz w:val="18"/>
                  <w:szCs w:val="18"/>
                </w:rPr>
                <w:t>BSBCRT501</w:t>
              </w:r>
            </w:hyperlink>
          </w:p>
        </w:tc>
        <w:tc>
          <w:tcPr>
            <w:tcW w:w="1881" w:type="dxa"/>
            <w:shd w:val="clear" w:color="auto" w:fill="FFFFFF" w:themeFill="background1" w:themeFillTint="33"/>
            <w:vAlign w:val="center"/>
          </w:tcPr>
          <w:p w14:paraId="7A9D330F" w14:textId="77777777" w:rsidR="00CF77FB" w:rsidRPr="000631CE" w:rsidRDefault="00CF77FB" w:rsidP="00CF77FB">
            <w:pPr>
              <w:rPr>
                <w:rFonts w:cstheme="minorHAnsi"/>
                <w:sz w:val="18"/>
                <w:szCs w:val="18"/>
              </w:rPr>
            </w:pPr>
            <w:r w:rsidRPr="000631CE">
              <w:rPr>
                <w:rFonts w:cstheme="minorHAnsi"/>
                <w:sz w:val="18"/>
                <w:szCs w:val="18"/>
              </w:rPr>
              <w:t>Originate and develop concepts </w:t>
            </w:r>
          </w:p>
        </w:tc>
        <w:tc>
          <w:tcPr>
            <w:tcW w:w="1795" w:type="dxa"/>
            <w:shd w:val="clear" w:color="auto" w:fill="FFFFFF" w:themeFill="background1" w:themeFillTint="33"/>
            <w:vAlign w:val="center"/>
          </w:tcPr>
          <w:p w14:paraId="7BBCBBDC" w14:textId="77777777" w:rsidR="00CF77FB" w:rsidRPr="000631CE" w:rsidRDefault="00CF77FB" w:rsidP="00CF77FB">
            <w:pPr>
              <w:rPr>
                <w:rFonts w:cstheme="minorHAnsi"/>
                <w:sz w:val="18"/>
                <w:szCs w:val="18"/>
              </w:rPr>
            </w:pPr>
            <w:r w:rsidRPr="000631CE">
              <w:rPr>
                <w:rFonts w:cstheme="minorHAnsi"/>
                <w:sz w:val="18"/>
                <w:szCs w:val="18"/>
              </w:rPr>
              <w:t>10 April 2017</w:t>
            </w:r>
          </w:p>
        </w:tc>
        <w:tc>
          <w:tcPr>
            <w:tcW w:w="1512" w:type="dxa"/>
            <w:shd w:val="clear" w:color="auto" w:fill="FFFFFF" w:themeFill="background1" w:themeFillTint="33"/>
            <w:vAlign w:val="center"/>
          </w:tcPr>
          <w:p w14:paraId="127FD90A" w14:textId="77777777" w:rsidR="00CF77FB" w:rsidRPr="000631CE" w:rsidRDefault="00CF77FB" w:rsidP="00CF77FB">
            <w:pPr>
              <w:jc w:val="right"/>
              <w:rPr>
                <w:rFonts w:cstheme="minorHAnsi"/>
                <w:sz w:val="18"/>
                <w:szCs w:val="18"/>
              </w:rPr>
            </w:pPr>
            <w:r w:rsidRPr="000631CE">
              <w:rPr>
                <w:rFonts w:cstheme="minorHAnsi"/>
                <w:sz w:val="18"/>
                <w:szCs w:val="18"/>
              </w:rPr>
              <w:t>$525</w:t>
            </w:r>
          </w:p>
        </w:tc>
        <w:tc>
          <w:tcPr>
            <w:tcW w:w="1234" w:type="dxa"/>
            <w:shd w:val="clear" w:color="auto" w:fill="FFFFFF" w:themeFill="background1" w:themeFillTint="33"/>
            <w:vAlign w:val="center"/>
          </w:tcPr>
          <w:p w14:paraId="4DB620AF" w14:textId="77777777" w:rsidR="00CF77FB" w:rsidRPr="000631CE" w:rsidRDefault="00CF77FB" w:rsidP="00CF77FB">
            <w:pPr>
              <w:jc w:val="right"/>
              <w:rPr>
                <w:rFonts w:cstheme="minorHAnsi"/>
                <w:sz w:val="18"/>
                <w:szCs w:val="18"/>
              </w:rPr>
            </w:pPr>
            <w:r w:rsidRPr="000631CE">
              <w:rPr>
                <w:rFonts w:cstheme="minorHAnsi"/>
                <w:sz w:val="18"/>
                <w:szCs w:val="18"/>
              </w:rPr>
              <w:t>$105</w:t>
            </w:r>
          </w:p>
        </w:tc>
        <w:tc>
          <w:tcPr>
            <w:tcW w:w="1699" w:type="dxa"/>
            <w:shd w:val="clear" w:color="auto" w:fill="FFFFFF" w:themeFill="background1" w:themeFillTint="33"/>
            <w:vAlign w:val="center"/>
          </w:tcPr>
          <w:p w14:paraId="5F10C16C" w14:textId="77777777" w:rsidR="00CF77FB" w:rsidRPr="000631CE" w:rsidRDefault="00CF77FB" w:rsidP="00CF77FB">
            <w:pPr>
              <w:jc w:val="right"/>
              <w:rPr>
                <w:rFonts w:cstheme="minorHAnsi"/>
                <w:sz w:val="18"/>
                <w:szCs w:val="18"/>
              </w:rPr>
            </w:pPr>
            <w:r w:rsidRPr="000631CE">
              <w:rPr>
                <w:rFonts w:cstheme="minorHAnsi"/>
                <w:sz w:val="18"/>
                <w:szCs w:val="18"/>
              </w:rPr>
              <w:t>Nil</w:t>
            </w:r>
          </w:p>
        </w:tc>
        <w:tc>
          <w:tcPr>
            <w:tcW w:w="1418" w:type="dxa"/>
            <w:shd w:val="clear" w:color="auto" w:fill="FFFFFF" w:themeFill="background1" w:themeFillTint="33"/>
            <w:vAlign w:val="center"/>
          </w:tcPr>
          <w:p w14:paraId="20D942FF" w14:textId="7809C109" w:rsidR="00CF77FB" w:rsidRPr="000631CE" w:rsidRDefault="00CF77FB" w:rsidP="00CF77FB">
            <w:pPr>
              <w:jc w:val="right"/>
              <w:rPr>
                <w:rFonts w:cstheme="minorHAnsi"/>
                <w:sz w:val="18"/>
                <w:szCs w:val="18"/>
              </w:rPr>
            </w:pPr>
            <w:r w:rsidRPr="000631CE">
              <w:rPr>
                <w:rFonts w:cstheme="minorHAnsi"/>
                <w:sz w:val="18"/>
                <w:szCs w:val="18"/>
              </w:rPr>
              <w:t>Nil</w:t>
            </w:r>
          </w:p>
        </w:tc>
        <w:tc>
          <w:tcPr>
            <w:tcW w:w="1559" w:type="dxa"/>
            <w:shd w:val="clear" w:color="auto" w:fill="FFFFFF" w:themeFill="background1" w:themeFillTint="33"/>
            <w:vAlign w:val="center"/>
          </w:tcPr>
          <w:p w14:paraId="49EC06A7" w14:textId="6DEEA61F" w:rsidR="00CF77FB" w:rsidRPr="000631CE" w:rsidRDefault="00CF77FB" w:rsidP="00CF77FB">
            <w:pPr>
              <w:jc w:val="right"/>
              <w:rPr>
                <w:rFonts w:cstheme="minorHAnsi"/>
                <w:sz w:val="18"/>
                <w:szCs w:val="18"/>
              </w:rPr>
            </w:pPr>
            <w:r w:rsidRPr="000631CE">
              <w:rPr>
                <w:rFonts w:cstheme="minorHAnsi"/>
                <w:sz w:val="18"/>
                <w:szCs w:val="18"/>
              </w:rPr>
              <w:t>Nil</w:t>
            </w:r>
          </w:p>
        </w:tc>
      </w:tr>
      <w:tr w:rsidR="00CF77FB" w:rsidRPr="000631CE" w14:paraId="0CA02C32" w14:textId="77777777" w:rsidTr="005F300B">
        <w:trPr>
          <w:trHeight w:val="289"/>
        </w:trPr>
        <w:tc>
          <w:tcPr>
            <w:tcW w:w="1008" w:type="dxa"/>
            <w:shd w:val="clear" w:color="auto" w:fill="FFFFFF" w:themeFill="background1" w:themeFillTint="33"/>
            <w:vAlign w:val="center"/>
          </w:tcPr>
          <w:p w14:paraId="5EE3C03D" w14:textId="77777777" w:rsidR="00CF77FB" w:rsidRPr="000631CE" w:rsidRDefault="00CF77FB" w:rsidP="00CF77FB">
            <w:pPr>
              <w:rPr>
                <w:rFonts w:cstheme="minorHAnsi"/>
                <w:sz w:val="18"/>
                <w:szCs w:val="18"/>
              </w:rPr>
            </w:pPr>
            <w:r w:rsidRPr="000631CE">
              <w:rPr>
                <w:rFonts w:cstheme="minorHAnsi"/>
                <w:sz w:val="18"/>
                <w:szCs w:val="18"/>
              </w:rPr>
              <w:t>ICT50115</w:t>
            </w:r>
          </w:p>
        </w:tc>
        <w:tc>
          <w:tcPr>
            <w:tcW w:w="2016" w:type="dxa"/>
            <w:shd w:val="clear" w:color="auto" w:fill="FFFFFF" w:themeFill="background1" w:themeFillTint="33"/>
            <w:vAlign w:val="center"/>
          </w:tcPr>
          <w:p w14:paraId="6252C5CA" w14:textId="77777777" w:rsidR="00CF77FB" w:rsidRPr="000631CE" w:rsidRDefault="00CF77FB" w:rsidP="00CF77FB">
            <w:pPr>
              <w:rPr>
                <w:rFonts w:cstheme="minorHAnsi"/>
                <w:sz w:val="18"/>
                <w:szCs w:val="18"/>
              </w:rPr>
            </w:pPr>
            <w:r w:rsidRPr="000631CE">
              <w:rPr>
                <w:rFonts w:cstheme="minorHAnsi"/>
                <w:sz w:val="18"/>
                <w:szCs w:val="18"/>
              </w:rPr>
              <w:t>Dip of Information Technology</w:t>
            </w:r>
          </w:p>
        </w:tc>
        <w:tc>
          <w:tcPr>
            <w:tcW w:w="1674" w:type="dxa"/>
            <w:shd w:val="clear" w:color="auto" w:fill="FFFFFF" w:themeFill="background1" w:themeFillTint="33"/>
            <w:vAlign w:val="center"/>
          </w:tcPr>
          <w:p w14:paraId="1C7ACA39" w14:textId="77777777" w:rsidR="00CF77FB" w:rsidRPr="000631CE" w:rsidRDefault="0016765E" w:rsidP="00CF77FB">
            <w:pPr>
              <w:rPr>
                <w:rFonts w:cstheme="minorHAnsi"/>
                <w:sz w:val="18"/>
                <w:szCs w:val="18"/>
              </w:rPr>
            </w:pPr>
            <w:hyperlink r:id="rId127" w:tooltip="View details for unit code BSBWHS501" w:history="1">
              <w:r w:rsidR="00CF77FB" w:rsidRPr="000631CE">
                <w:rPr>
                  <w:rFonts w:cstheme="minorHAnsi"/>
                  <w:sz w:val="18"/>
                  <w:szCs w:val="18"/>
                </w:rPr>
                <w:t>BSBWHS501</w:t>
              </w:r>
            </w:hyperlink>
          </w:p>
        </w:tc>
        <w:tc>
          <w:tcPr>
            <w:tcW w:w="1881" w:type="dxa"/>
            <w:shd w:val="clear" w:color="auto" w:fill="FFFFFF" w:themeFill="background1" w:themeFillTint="33"/>
            <w:vAlign w:val="center"/>
          </w:tcPr>
          <w:p w14:paraId="2DACBF81" w14:textId="77777777" w:rsidR="00CF77FB" w:rsidRPr="000631CE" w:rsidRDefault="00CF77FB" w:rsidP="00CF77FB">
            <w:pPr>
              <w:rPr>
                <w:rFonts w:eastAsiaTheme="minorHAnsi" w:cstheme="minorHAnsi"/>
                <w:sz w:val="18"/>
                <w:szCs w:val="18"/>
              </w:rPr>
            </w:pPr>
            <w:r w:rsidRPr="000631CE">
              <w:rPr>
                <w:rFonts w:eastAsiaTheme="minorHAnsi" w:cstheme="minorHAnsi"/>
                <w:sz w:val="18"/>
                <w:szCs w:val="18"/>
              </w:rPr>
              <w:t>Ensure a safe workplace </w:t>
            </w:r>
          </w:p>
        </w:tc>
        <w:tc>
          <w:tcPr>
            <w:tcW w:w="1795" w:type="dxa"/>
            <w:shd w:val="clear" w:color="auto" w:fill="FFFFFF" w:themeFill="background1" w:themeFillTint="33"/>
            <w:vAlign w:val="center"/>
          </w:tcPr>
          <w:p w14:paraId="573B86B0" w14:textId="77777777" w:rsidR="00CF77FB" w:rsidRPr="000631CE" w:rsidRDefault="00CF77FB" w:rsidP="00CF77FB">
            <w:pPr>
              <w:rPr>
                <w:rFonts w:cstheme="minorHAnsi"/>
                <w:sz w:val="18"/>
                <w:szCs w:val="18"/>
              </w:rPr>
            </w:pPr>
            <w:r w:rsidRPr="000631CE">
              <w:rPr>
                <w:rFonts w:cstheme="minorHAnsi"/>
                <w:sz w:val="18"/>
                <w:szCs w:val="18"/>
              </w:rPr>
              <w:t>10 April 2017</w:t>
            </w:r>
          </w:p>
        </w:tc>
        <w:tc>
          <w:tcPr>
            <w:tcW w:w="1512" w:type="dxa"/>
            <w:shd w:val="clear" w:color="auto" w:fill="FFFFFF" w:themeFill="background1" w:themeFillTint="33"/>
            <w:vAlign w:val="center"/>
          </w:tcPr>
          <w:p w14:paraId="21AAEB13" w14:textId="77777777" w:rsidR="00CF77FB" w:rsidRPr="000631CE" w:rsidRDefault="00CF77FB" w:rsidP="00CF77FB">
            <w:pPr>
              <w:jc w:val="right"/>
              <w:rPr>
                <w:rFonts w:cstheme="minorHAnsi"/>
                <w:sz w:val="18"/>
                <w:szCs w:val="18"/>
              </w:rPr>
            </w:pPr>
            <w:r w:rsidRPr="000631CE">
              <w:rPr>
                <w:rFonts w:cstheme="minorHAnsi"/>
                <w:sz w:val="18"/>
                <w:szCs w:val="18"/>
              </w:rPr>
              <w:t>$600</w:t>
            </w:r>
          </w:p>
        </w:tc>
        <w:tc>
          <w:tcPr>
            <w:tcW w:w="1234" w:type="dxa"/>
            <w:shd w:val="clear" w:color="auto" w:fill="FFFFFF" w:themeFill="background1" w:themeFillTint="33"/>
            <w:vAlign w:val="center"/>
          </w:tcPr>
          <w:p w14:paraId="35090947" w14:textId="77777777" w:rsidR="00CF77FB" w:rsidRPr="000631CE" w:rsidRDefault="00CF77FB" w:rsidP="00CF77FB">
            <w:pPr>
              <w:jc w:val="right"/>
              <w:rPr>
                <w:rFonts w:cstheme="minorHAnsi"/>
                <w:sz w:val="18"/>
                <w:szCs w:val="18"/>
              </w:rPr>
            </w:pPr>
            <w:r w:rsidRPr="000631CE">
              <w:rPr>
                <w:rFonts w:cstheme="minorHAnsi"/>
                <w:sz w:val="18"/>
                <w:szCs w:val="18"/>
              </w:rPr>
              <w:t>$120</w:t>
            </w:r>
          </w:p>
        </w:tc>
        <w:tc>
          <w:tcPr>
            <w:tcW w:w="1699" w:type="dxa"/>
            <w:shd w:val="clear" w:color="auto" w:fill="FFFFFF" w:themeFill="background1" w:themeFillTint="33"/>
            <w:vAlign w:val="center"/>
          </w:tcPr>
          <w:p w14:paraId="36B5A64F" w14:textId="77777777" w:rsidR="00CF77FB" w:rsidRPr="000631CE" w:rsidRDefault="00CF77FB" w:rsidP="00CF77FB">
            <w:pPr>
              <w:jc w:val="right"/>
              <w:rPr>
                <w:rFonts w:cstheme="minorHAnsi"/>
                <w:sz w:val="18"/>
                <w:szCs w:val="18"/>
              </w:rPr>
            </w:pPr>
            <w:r w:rsidRPr="000631CE">
              <w:rPr>
                <w:rFonts w:cstheme="minorHAnsi"/>
                <w:sz w:val="18"/>
                <w:szCs w:val="18"/>
              </w:rPr>
              <w:t>Nil</w:t>
            </w:r>
          </w:p>
        </w:tc>
        <w:tc>
          <w:tcPr>
            <w:tcW w:w="1418" w:type="dxa"/>
            <w:shd w:val="clear" w:color="auto" w:fill="FFFFFF" w:themeFill="background1" w:themeFillTint="33"/>
            <w:vAlign w:val="center"/>
          </w:tcPr>
          <w:p w14:paraId="71BA0368" w14:textId="512867B1" w:rsidR="00CF77FB" w:rsidRPr="000631CE" w:rsidRDefault="00CF77FB" w:rsidP="00CF77FB">
            <w:pPr>
              <w:jc w:val="right"/>
              <w:rPr>
                <w:rFonts w:cstheme="minorHAnsi"/>
                <w:sz w:val="18"/>
                <w:szCs w:val="18"/>
              </w:rPr>
            </w:pPr>
            <w:r w:rsidRPr="000631CE">
              <w:rPr>
                <w:rFonts w:cstheme="minorHAnsi"/>
                <w:sz w:val="18"/>
                <w:szCs w:val="18"/>
              </w:rPr>
              <w:t>Nil</w:t>
            </w:r>
          </w:p>
        </w:tc>
        <w:tc>
          <w:tcPr>
            <w:tcW w:w="1559" w:type="dxa"/>
            <w:shd w:val="clear" w:color="auto" w:fill="FFFFFF" w:themeFill="background1" w:themeFillTint="33"/>
            <w:vAlign w:val="center"/>
          </w:tcPr>
          <w:p w14:paraId="08219D67" w14:textId="73E0B3AD" w:rsidR="00CF77FB" w:rsidRPr="000631CE" w:rsidRDefault="00CF77FB" w:rsidP="00CF77FB">
            <w:pPr>
              <w:jc w:val="right"/>
              <w:rPr>
                <w:rFonts w:cstheme="minorHAnsi"/>
                <w:sz w:val="18"/>
                <w:szCs w:val="18"/>
              </w:rPr>
            </w:pPr>
            <w:r w:rsidRPr="000631CE">
              <w:rPr>
                <w:rFonts w:cstheme="minorHAnsi"/>
                <w:sz w:val="18"/>
                <w:szCs w:val="18"/>
              </w:rPr>
              <w:t>Nil</w:t>
            </w:r>
          </w:p>
        </w:tc>
      </w:tr>
      <w:tr w:rsidR="00CF77FB" w:rsidRPr="000631CE" w14:paraId="4D41B270" w14:textId="77777777" w:rsidTr="005F300B">
        <w:trPr>
          <w:trHeight w:val="289"/>
        </w:trPr>
        <w:tc>
          <w:tcPr>
            <w:tcW w:w="1008" w:type="dxa"/>
            <w:shd w:val="clear" w:color="auto" w:fill="FFFFFF" w:themeFill="background1" w:themeFillTint="33"/>
            <w:vAlign w:val="center"/>
          </w:tcPr>
          <w:p w14:paraId="77CC4158" w14:textId="77777777" w:rsidR="00CF77FB" w:rsidRPr="000631CE" w:rsidRDefault="00CF77FB" w:rsidP="00CF77FB">
            <w:pPr>
              <w:rPr>
                <w:rFonts w:cstheme="minorHAnsi"/>
                <w:sz w:val="18"/>
                <w:szCs w:val="18"/>
              </w:rPr>
            </w:pPr>
          </w:p>
        </w:tc>
        <w:tc>
          <w:tcPr>
            <w:tcW w:w="2016" w:type="dxa"/>
            <w:shd w:val="clear" w:color="auto" w:fill="FFFFFF" w:themeFill="background1" w:themeFillTint="33"/>
            <w:vAlign w:val="center"/>
          </w:tcPr>
          <w:p w14:paraId="71F3BC3C" w14:textId="77777777" w:rsidR="00CF77FB" w:rsidRPr="000631CE" w:rsidRDefault="00CF77FB" w:rsidP="00CF77FB">
            <w:pPr>
              <w:rPr>
                <w:rFonts w:cstheme="minorHAnsi"/>
                <w:sz w:val="18"/>
                <w:szCs w:val="18"/>
              </w:rPr>
            </w:pPr>
          </w:p>
        </w:tc>
        <w:tc>
          <w:tcPr>
            <w:tcW w:w="1674" w:type="dxa"/>
            <w:shd w:val="clear" w:color="auto" w:fill="FFFFFF" w:themeFill="background1" w:themeFillTint="33"/>
            <w:vAlign w:val="center"/>
          </w:tcPr>
          <w:p w14:paraId="2E893FF6" w14:textId="77777777" w:rsidR="00CF77FB" w:rsidRPr="000631CE" w:rsidRDefault="00CF77FB" w:rsidP="00CF77FB">
            <w:pPr>
              <w:rPr>
                <w:rFonts w:cstheme="minorHAnsi"/>
              </w:rPr>
            </w:pPr>
          </w:p>
        </w:tc>
        <w:tc>
          <w:tcPr>
            <w:tcW w:w="1881" w:type="dxa"/>
            <w:shd w:val="clear" w:color="auto" w:fill="FFFFFF" w:themeFill="background1" w:themeFillTint="33"/>
            <w:vAlign w:val="center"/>
          </w:tcPr>
          <w:p w14:paraId="62678513" w14:textId="77777777" w:rsidR="00CF77FB" w:rsidRPr="000631CE" w:rsidRDefault="00CF77FB" w:rsidP="00CF77FB">
            <w:pPr>
              <w:rPr>
                <w:rFonts w:cstheme="minorHAnsi"/>
                <w:sz w:val="18"/>
                <w:szCs w:val="18"/>
              </w:rPr>
            </w:pPr>
          </w:p>
        </w:tc>
        <w:tc>
          <w:tcPr>
            <w:tcW w:w="1795" w:type="dxa"/>
            <w:shd w:val="clear" w:color="auto" w:fill="FFFFFF" w:themeFill="background1" w:themeFillTint="33"/>
            <w:vAlign w:val="center"/>
          </w:tcPr>
          <w:p w14:paraId="38691965" w14:textId="77777777" w:rsidR="00CF77FB" w:rsidRPr="000631CE" w:rsidRDefault="00CF77FB" w:rsidP="00CF77FB">
            <w:pPr>
              <w:rPr>
                <w:rFonts w:cstheme="minorHAnsi"/>
                <w:sz w:val="18"/>
                <w:szCs w:val="18"/>
              </w:rPr>
            </w:pPr>
          </w:p>
        </w:tc>
        <w:tc>
          <w:tcPr>
            <w:tcW w:w="1512" w:type="dxa"/>
            <w:shd w:val="clear" w:color="auto" w:fill="FFFFFF" w:themeFill="background1" w:themeFillTint="33"/>
            <w:vAlign w:val="center"/>
          </w:tcPr>
          <w:p w14:paraId="33001C52" w14:textId="77777777" w:rsidR="00CF77FB" w:rsidRPr="000631CE" w:rsidRDefault="00CF77FB" w:rsidP="00CF77FB">
            <w:pPr>
              <w:rPr>
                <w:rFonts w:cstheme="minorHAnsi"/>
                <w:sz w:val="18"/>
                <w:szCs w:val="18"/>
              </w:rPr>
            </w:pPr>
          </w:p>
        </w:tc>
        <w:tc>
          <w:tcPr>
            <w:tcW w:w="1234" w:type="dxa"/>
            <w:shd w:val="clear" w:color="auto" w:fill="FFFFFF" w:themeFill="background1" w:themeFillTint="33"/>
            <w:vAlign w:val="center"/>
          </w:tcPr>
          <w:p w14:paraId="264B4D75" w14:textId="77777777" w:rsidR="00CF77FB" w:rsidRPr="000631CE" w:rsidRDefault="00CF77FB" w:rsidP="00CF77FB">
            <w:pPr>
              <w:rPr>
                <w:rFonts w:cstheme="minorHAnsi"/>
                <w:sz w:val="18"/>
                <w:szCs w:val="18"/>
              </w:rPr>
            </w:pPr>
          </w:p>
        </w:tc>
        <w:tc>
          <w:tcPr>
            <w:tcW w:w="1699" w:type="dxa"/>
            <w:shd w:val="clear" w:color="auto" w:fill="FFFFFF" w:themeFill="background1" w:themeFillTint="33"/>
            <w:vAlign w:val="center"/>
          </w:tcPr>
          <w:p w14:paraId="31E748E9" w14:textId="77777777" w:rsidR="00CF77FB" w:rsidRPr="000631CE" w:rsidRDefault="00CF77FB" w:rsidP="00CF77FB">
            <w:pPr>
              <w:rPr>
                <w:rFonts w:cstheme="minorHAnsi"/>
                <w:sz w:val="18"/>
                <w:szCs w:val="18"/>
              </w:rPr>
            </w:pPr>
          </w:p>
        </w:tc>
        <w:tc>
          <w:tcPr>
            <w:tcW w:w="1418" w:type="dxa"/>
            <w:shd w:val="clear" w:color="auto" w:fill="FFFFFF" w:themeFill="background1" w:themeFillTint="33"/>
            <w:vAlign w:val="center"/>
          </w:tcPr>
          <w:p w14:paraId="10E4F075" w14:textId="77777777" w:rsidR="00CF77FB" w:rsidRPr="000631CE" w:rsidRDefault="00CF77FB" w:rsidP="00CF77FB">
            <w:pPr>
              <w:rPr>
                <w:rFonts w:cstheme="minorHAnsi"/>
                <w:sz w:val="18"/>
                <w:szCs w:val="18"/>
              </w:rPr>
            </w:pPr>
          </w:p>
        </w:tc>
        <w:tc>
          <w:tcPr>
            <w:tcW w:w="1559" w:type="dxa"/>
            <w:shd w:val="clear" w:color="auto" w:fill="FFFFFF" w:themeFill="background1" w:themeFillTint="33"/>
            <w:vAlign w:val="center"/>
          </w:tcPr>
          <w:p w14:paraId="39E97BDD" w14:textId="77777777" w:rsidR="00CF77FB" w:rsidRPr="000631CE" w:rsidRDefault="00CF77FB" w:rsidP="00CF77FB">
            <w:pPr>
              <w:rPr>
                <w:rFonts w:cstheme="minorHAnsi"/>
                <w:sz w:val="18"/>
                <w:szCs w:val="18"/>
              </w:rPr>
            </w:pPr>
          </w:p>
        </w:tc>
      </w:tr>
      <w:tr w:rsidR="00CF77FB" w:rsidRPr="000631CE" w14:paraId="724454C9" w14:textId="77777777" w:rsidTr="005F300B">
        <w:trPr>
          <w:trHeight w:val="289"/>
        </w:trPr>
        <w:tc>
          <w:tcPr>
            <w:tcW w:w="1008" w:type="dxa"/>
            <w:shd w:val="clear" w:color="auto" w:fill="FFFFFF" w:themeFill="background1" w:themeFillTint="33"/>
            <w:vAlign w:val="center"/>
          </w:tcPr>
          <w:p w14:paraId="6C6754C4" w14:textId="77777777" w:rsidR="00CF77FB" w:rsidRPr="000631CE" w:rsidRDefault="00CF77FB" w:rsidP="00CF77FB">
            <w:pPr>
              <w:rPr>
                <w:rFonts w:cstheme="minorHAnsi"/>
                <w:sz w:val="18"/>
                <w:szCs w:val="18"/>
              </w:rPr>
            </w:pPr>
          </w:p>
        </w:tc>
        <w:tc>
          <w:tcPr>
            <w:tcW w:w="2016" w:type="dxa"/>
            <w:shd w:val="clear" w:color="auto" w:fill="FFFFFF" w:themeFill="background1" w:themeFillTint="33"/>
            <w:vAlign w:val="center"/>
          </w:tcPr>
          <w:p w14:paraId="532BDA7D" w14:textId="77777777" w:rsidR="00CF77FB" w:rsidRPr="000631CE" w:rsidRDefault="00CF77FB" w:rsidP="00CF77FB">
            <w:pPr>
              <w:rPr>
                <w:rFonts w:cstheme="minorHAnsi"/>
                <w:sz w:val="18"/>
                <w:szCs w:val="18"/>
              </w:rPr>
            </w:pPr>
          </w:p>
        </w:tc>
        <w:tc>
          <w:tcPr>
            <w:tcW w:w="1674" w:type="dxa"/>
            <w:shd w:val="clear" w:color="auto" w:fill="FFFFFF" w:themeFill="background1" w:themeFillTint="33"/>
            <w:vAlign w:val="center"/>
          </w:tcPr>
          <w:p w14:paraId="5469CDD8" w14:textId="77777777" w:rsidR="00CF77FB" w:rsidRPr="000631CE" w:rsidRDefault="00CF77FB" w:rsidP="00CF77FB">
            <w:pPr>
              <w:rPr>
                <w:rFonts w:cstheme="minorHAnsi"/>
              </w:rPr>
            </w:pPr>
          </w:p>
        </w:tc>
        <w:tc>
          <w:tcPr>
            <w:tcW w:w="1881" w:type="dxa"/>
            <w:shd w:val="clear" w:color="auto" w:fill="FFFFFF" w:themeFill="background1" w:themeFillTint="33"/>
            <w:vAlign w:val="center"/>
          </w:tcPr>
          <w:p w14:paraId="7A0AA88A" w14:textId="77777777" w:rsidR="00CF77FB" w:rsidRPr="000631CE" w:rsidRDefault="00CF77FB" w:rsidP="00CF77FB">
            <w:pPr>
              <w:rPr>
                <w:rFonts w:cstheme="minorHAnsi"/>
                <w:sz w:val="18"/>
                <w:szCs w:val="18"/>
              </w:rPr>
            </w:pPr>
          </w:p>
        </w:tc>
        <w:tc>
          <w:tcPr>
            <w:tcW w:w="1795" w:type="dxa"/>
            <w:shd w:val="clear" w:color="auto" w:fill="FFFFFF" w:themeFill="background1" w:themeFillTint="33"/>
            <w:vAlign w:val="center"/>
          </w:tcPr>
          <w:p w14:paraId="05F0A482" w14:textId="77777777" w:rsidR="00CF77FB" w:rsidRPr="000631CE" w:rsidRDefault="00CF77FB" w:rsidP="00CF77FB">
            <w:pPr>
              <w:rPr>
                <w:rFonts w:cstheme="minorHAnsi"/>
                <w:sz w:val="18"/>
                <w:szCs w:val="18"/>
              </w:rPr>
            </w:pPr>
          </w:p>
        </w:tc>
        <w:tc>
          <w:tcPr>
            <w:tcW w:w="1512" w:type="dxa"/>
            <w:shd w:val="clear" w:color="auto" w:fill="24206B"/>
            <w:vAlign w:val="center"/>
          </w:tcPr>
          <w:p w14:paraId="7BE3B1C4" w14:textId="77777777" w:rsidR="00CF77FB" w:rsidRPr="00983AE6" w:rsidRDefault="00CF77FB" w:rsidP="00CF77FB">
            <w:pPr>
              <w:pStyle w:val="Tableheading"/>
              <w:rPr>
                <w:sz w:val="20"/>
              </w:rPr>
            </w:pPr>
            <w:r w:rsidRPr="00983AE6">
              <w:rPr>
                <w:sz w:val="20"/>
              </w:rPr>
              <w:t>Total tuition fee covered by VSL</w:t>
            </w:r>
          </w:p>
        </w:tc>
        <w:tc>
          <w:tcPr>
            <w:tcW w:w="1234" w:type="dxa"/>
            <w:shd w:val="clear" w:color="auto" w:fill="24206B"/>
            <w:vAlign w:val="center"/>
          </w:tcPr>
          <w:p w14:paraId="6927A24A" w14:textId="77777777" w:rsidR="00CF77FB" w:rsidRPr="00983AE6" w:rsidRDefault="00CF77FB" w:rsidP="00CF77FB">
            <w:pPr>
              <w:pStyle w:val="Tableheading"/>
              <w:rPr>
                <w:sz w:val="20"/>
              </w:rPr>
            </w:pPr>
            <w:r w:rsidRPr="00983AE6">
              <w:rPr>
                <w:sz w:val="20"/>
              </w:rPr>
              <w:t>Total loan fee</w:t>
            </w:r>
          </w:p>
        </w:tc>
        <w:tc>
          <w:tcPr>
            <w:tcW w:w="1699" w:type="dxa"/>
            <w:shd w:val="clear" w:color="auto" w:fill="FFFFFF" w:themeFill="background1" w:themeFillTint="33"/>
            <w:vAlign w:val="center"/>
          </w:tcPr>
          <w:p w14:paraId="3089D4EA" w14:textId="77777777" w:rsidR="00CF77FB" w:rsidRPr="000631CE" w:rsidRDefault="00CF77FB" w:rsidP="00CF77FB">
            <w:pPr>
              <w:rPr>
                <w:rFonts w:cstheme="minorHAnsi"/>
                <w:sz w:val="18"/>
                <w:szCs w:val="18"/>
              </w:rPr>
            </w:pPr>
          </w:p>
        </w:tc>
        <w:tc>
          <w:tcPr>
            <w:tcW w:w="1418" w:type="dxa"/>
            <w:shd w:val="clear" w:color="auto" w:fill="FFFFFF" w:themeFill="background1" w:themeFillTint="33"/>
            <w:vAlign w:val="center"/>
          </w:tcPr>
          <w:p w14:paraId="32B9DB4B" w14:textId="77777777" w:rsidR="00CF77FB" w:rsidRPr="000631CE" w:rsidRDefault="00CF77FB" w:rsidP="00CF77FB">
            <w:pPr>
              <w:rPr>
                <w:rFonts w:cstheme="minorHAnsi"/>
                <w:b/>
                <w:sz w:val="18"/>
                <w:szCs w:val="18"/>
              </w:rPr>
            </w:pPr>
          </w:p>
        </w:tc>
        <w:tc>
          <w:tcPr>
            <w:tcW w:w="1559" w:type="dxa"/>
            <w:shd w:val="clear" w:color="auto" w:fill="FFFFFF" w:themeFill="background1" w:themeFillTint="33"/>
            <w:vAlign w:val="center"/>
          </w:tcPr>
          <w:p w14:paraId="1F1E8E43" w14:textId="77777777" w:rsidR="00CF77FB" w:rsidRPr="000631CE" w:rsidRDefault="00CF77FB" w:rsidP="00CF77FB">
            <w:pPr>
              <w:rPr>
                <w:rFonts w:cstheme="minorHAnsi"/>
                <w:b/>
                <w:sz w:val="18"/>
                <w:szCs w:val="18"/>
              </w:rPr>
            </w:pPr>
          </w:p>
        </w:tc>
      </w:tr>
      <w:tr w:rsidR="00CF77FB" w:rsidRPr="000631CE" w14:paraId="33D95150" w14:textId="77777777" w:rsidTr="005F300B">
        <w:trPr>
          <w:trHeight w:val="289"/>
        </w:trPr>
        <w:tc>
          <w:tcPr>
            <w:tcW w:w="1008" w:type="dxa"/>
            <w:shd w:val="clear" w:color="auto" w:fill="FFFFFF" w:themeFill="background1" w:themeFillTint="33"/>
            <w:vAlign w:val="center"/>
          </w:tcPr>
          <w:p w14:paraId="4275A8EB" w14:textId="77777777" w:rsidR="00CF77FB" w:rsidRPr="000631CE" w:rsidRDefault="00CF77FB" w:rsidP="00CF77FB">
            <w:pPr>
              <w:rPr>
                <w:rFonts w:cstheme="minorHAnsi"/>
                <w:sz w:val="18"/>
                <w:szCs w:val="18"/>
              </w:rPr>
            </w:pPr>
          </w:p>
        </w:tc>
        <w:tc>
          <w:tcPr>
            <w:tcW w:w="2016" w:type="dxa"/>
            <w:shd w:val="clear" w:color="auto" w:fill="FFFFFF" w:themeFill="background1" w:themeFillTint="33"/>
            <w:vAlign w:val="center"/>
          </w:tcPr>
          <w:p w14:paraId="36DE09A0" w14:textId="77777777" w:rsidR="00CF77FB" w:rsidRPr="000631CE" w:rsidRDefault="00CF77FB" w:rsidP="00CF77FB">
            <w:pPr>
              <w:rPr>
                <w:rFonts w:cstheme="minorHAnsi"/>
                <w:sz w:val="18"/>
                <w:szCs w:val="18"/>
              </w:rPr>
            </w:pPr>
          </w:p>
        </w:tc>
        <w:tc>
          <w:tcPr>
            <w:tcW w:w="1674" w:type="dxa"/>
            <w:shd w:val="clear" w:color="auto" w:fill="FFFFFF" w:themeFill="background1" w:themeFillTint="33"/>
            <w:vAlign w:val="center"/>
          </w:tcPr>
          <w:p w14:paraId="7F24192F" w14:textId="77777777" w:rsidR="00CF77FB" w:rsidRPr="000631CE" w:rsidRDefault="00CF77FB" w:rsidP="00CF77FB">
            <w:pPr>
              <w:rPr>
                <w:rFonts w:cstheme="minorHAnsi"/>
              </w:rPr>
            </w:pPr>
          </w:p>
        </w:tc>
        <w:tc>
          <w:tcPr>
            <w:tcW w:w="1881" w:type="dxa"/>
            <w:shd w:val="clear" w:color="auto" w:fill="FFFFFF" w:themeFill="background1" w:themeFillTint="33"/>
            <w:vAlign w:val="center"/>
          </w:tcPr>
          <w:p w14:paraId="26E72D04" w14:textId="77777777" w:rsidR="00CF77FB" w:rsidRPr="000631CE" w:rsidRDefault="00CF77FB" w:rsidP="00CF77FB">
            <w:pPr>
              <w:rPr>
                <w:rFonts w:cstheme="minorHAnsi"/>
                <w:sz w:val="18"/>
                <w:szCs w:val="18"/>
              </w:rPr>
            </w:pPr>
          </w:p>
        </w:tc>
        <w:tc>
          <w:tcPr>
            <w:tcW w:w="1795" w:type="dxa"/>
            <w:shd w:val="clear" w:color="auto" w:fill="FFFFFF" w:themeFill="background1" w:themeFillTint="33"/>
            <w:vAlign w:val="center"/>
          </w:tcPr>
          <w:p w14:paraId="0DB6BF8F" w14:textId="77777777" w:rsidR="00CF77FB" w:rsidRPr="000631CE" w:rsidRDefault="00CF77FB" w:rsidP="00CF77FB">
            <w:pPr>
              <w:rPr>
                <w:rFonts w:cstheme="minorHAnsi"/>
                <w:sz w:val="18"/>
                <w:szCs w:val="18"/>
              </w:rPr>
            </w:pPr>
          </w:p>
        </w:tc>
        <w:tc>
          <w:tcPr>
            <w:tcW w:w="1512" w:type="dxa"/>
            <w:shd w:val="clear" w:color="auto" w:fill="FFFFFF" w:themeFill="background1" w:themeFillTint="33"/>
            <w:vAlign w:val="center"/>
          </w:tcPr>
          <w:p w14:paraId="36DF80E7" w14:textId="77777777" w:rsidR="00CF77FB" w:rsidRPr="000631CE" w:rsidRDefault="00CF77FB" w:rsidP="00CF77FB">
            <w:pPr>
              <w:jc w:val="right"/>
              <w:rPr>
                <w:rFonts w:cstheme="minorHAnsi"/>
                <w:sz w:val="18"/>
                <w:szCs w:val="18"/>
              </w:rPr>
            </w:pPr>
            <w:r w:rsidRPr="000631CE">
              <w:rPr>
                <w:rFonts w:cstheme="minorHAnsi"/>
                <w:sz w:val="18"/>
                <w:szCs w:val="18"/>
              </w:rPr>
              <w:t>$1125</w:t>
            </w:r>
          </w:p>
        </w:tc>
        <w:tc>
          <w:tcPr>
            <w:tcW w:w="1234" w:type="dxa"/>
            <w:shd w:val="clear" w:color="auto" w:fill="FFFFFF" w:themeFill="background1" w:themeFillTint="33"/>
            <w:vAlign w:val="center"/>
          </w:tcPr>
          <w:p w14:paraId="37610159" w14:textId="77777777" w:rsidR="00CF77FB" w:rsidRPr="000631CE" w:rsidRDefault="00CF77FB" w:rsidP="00CF77FB">
            <w:pPr>
              <w:jc w:val="right"/>
              <w:rPr>
                <w:rFonts w:cstheme="minorHAnsi"/>
                <w:sz w:val="18"/>
                <w:szCs w:val="18"/>
              </w:rPr>
            </w:pPr>
            <w:r w:rsidRPr="000631CE">
              <w:rPr>
                <w:rFonts w:cstheme="minorHAnsi"/>
                <w:sz w:val="18"/>
                <w:szCs w:val="18"/>
              </w:rPr>
              <w:t>$225</w:t>
            </w:r>
          </w:p>
        </w:tc>
        <w:tc>
          <w:tcPr>
            <w:tcW w:w="1699" w:type="dxa"/>
            <w:shd w:val="clear" w:color="auto" w:fill="FFFFFF" w:themeFill="background1" w:themeFillTint="33"/>
            <w:vAlign w:val="center"/>
          </w:tcPr>
          <w:p w14:paraId="1F7D8E99" w14:textId="77777777" w:rsidR="00CF77FB" w:rsidRPr="000631CE" w:rsidRDefault="00CF77FB" w:rsidP="00CF77FB">
            <w:pPr>
              <w:rPr>
                <w:rFonts w:cstheme="minorHAnsi"/>
                <w:sz w:val="18"/>
                <w:szCs w:val="18"/>
              </w:rPr>
            </w:pPr>
          </w:p>
        </w:tc>
        <w:tc>
          <w:tcPr>
            <w:tcW w:w="1418" w:type="dxa"/>
            <w:shd w:val="clear" w:color="auto" w:fill="FFFFFF" w:themeFill="background1" w:themeFillTint="33"/>
            <w:vAlign w:val="center"/>
          </w:tcPr>
          <w:p w14:paraId="2ED44033" w14:textId="29B3595F" w:rsidR="00CF77FB" w:rsidRPr="000631CE" w:rsidRDefault="00CF77FB" w:rsidP="00CF77FB">
            <w:pPr>
              <w:jc w:val="right"/>
              <w:rPr>
                <w:rFonts w:cstheme="minorHAnsi"/>
                <w:b/>
              </w:rPr>
            </w:pPr>
            <w:r w:rsidRPr="000631CE">
              <w:rPr>
                <w:rFonts w:cstheme="minorHAnsi"/>
                <w:sz w:val="18"/>
                <w:szCs w:val="18"/>
              </w:rPr>
              <w:t>Nil</w:t>
            </w:r>
          </w:p>
        </w:tc>
        <w:tc>
          <w:tcPr>
            <w:tcW w:w="1559" w:type="dxa"/>
            <w:shd w:val="clear" w:color="auto" w:fill="FFFFFF" w:themeFill="background1" w:themeFillTint="33"/>
            <w:vAlign w:val="center"/>
          </w:tcPr>
          <w:p w14:paraId="1FAFBC58" w14:textId="662EA2EE" w:rsidR="00CF77FB" w:rsidRPr="000631CE" w:rsidRDefault="00CF77FB" w:rsidP="00CF77FB">
            <w:pPr>
              <w:jc w:val="right"/>
              <w:rPr>
                <w:rFonts w:cstheme="minorHAnsi"/>
                <w:b/>
              </w:rPr>
            </w:pPr>
            <w:r w:rsidRPr="000631CE">
              <w:rPr>
                <w:rFonts w:cstheme="minorHAnsi"/>
                <w:sz w:val="18"/>
                <w:szCs w:val="18"/>
              </w:rPr>
              <w:t>Nil</w:t>
            </w:r>
          </w:p>
        </w:tc>
      </w:tr>
      <w:tr w:rsidR="00CF77FB" w:rsidRPr="000631CE" w14:paraId="2AD35985" w14:textId="77777777" w:rsidTr="005F300B">
        <w:trPr>
          <w:trHeight w:val="289"/>
        </w:trPr>
        <w:tc>
          <w:tcPr>
            <w:tcW w:w="1008" w:type="dxa"/>
            <w:shd w:val="clear" w:color="auto" w:fill="FFFFFF" w:themeFill="background1" w:themeFillTint="33"/>
            <w:vAlign w:val="center"/>
          </w:tcPr>
          <w:p w14:paraId="33113FA2" w14:textId="77777777" w:rsidR="00CF77FB" w:rsidRPr="000631CE" w:rsidRDefault="00CF77FB" w:rsidP="00CF77FB">
            <w:pPr>
              <w:rPr>
                <w:rFonts w:cstheme="minorHAnsi"/>
                <w:sz w:val="18"/>
                <w:szCs w:val="18"/>
              </w:rPr>
            </w:pPr>
          </w:p>
        </w:tc>
        <w:tc>
          <w:tcPr>
            <w:tcW w:w="2016" w:type="dxa"/>
            <w:shd w:val="clear" w:color="auto" w:fill="FFFFFF" w:themeFill="background1" w:themeFillTint="33"/>
            <w:vAlign w:val="center"/>
          </w:tcPr>
          <w:p w14:paraId="37C2EDF6" w14:textId="77777777" w:rsidR="00CF77FB" w:rsidRPr="000631CE" w:rsidRDefault="00CF77FB" w:rsidP="00CF77FB">
            <w:pPr>
              <w:rPr>
                <w:rFonts w:cstheme="minorHAnsi"/>
                <w:sz w:val="18"/>
                <w:szCs w:val="18"/>
              </w:rPr>
            </w:pPr>
          </w:p>
        </w:tc>
        <w:tc>
          <w:tcPr>
            <w:tcW w:w="1674" w:type="dxa"/>
            <w:shd w:val="clear" w:color="auto" w:fill="FFFFFF" w:themeFill="background1" w:themeFillTint="33"/>
            <w:vAlign w:val="center"/>
          </w:tcPr>
          <w:p w14:paraId="4C2FD47A" w14:textId="77777777" w:rsidR="00CF77FB" w:rsidRPr="000631CE" w:rsidRDefault="00CF77FB" w:rsidP="00CF77FB">
            <w:pPr>
              <w:rPr>
                <w:rFonts w:cstheme="minorHAnsi"/>
              </w:rPr>
            </w:pPr>
          </w:p>
        </w:tc>
        <w:tc>
          <w:tcPr>
            <w:tcW w:w="1881" w:type="dxa"/>
            <w:shd w:val="clear" w:color="auto" w:fill="FFFFFF" w:themeFill="background1" w:themeFillTint="33"/>
            <w:vAlign w:val="center"/>
          </w:tcPr>
          <w:p w14:paraId="61F72B8D" w14:textId="77777777" w:rsidR="00CF77FB" w:rsidRPr="000631CE" w:rsidRDefault="00CF77FB" w:rsidP="00CF77FB">
            <w:pPr>
              <w:rPr>
                <w:rFonts w:cstheme="minorHAnsi"/>
                <w:sz w:val="18"/>
                <w:szCs w:val="18"/>
              </w:rPr>
            </w:pPr>
          </w:p>
        </w:tc>
        <w:tc>
          <w:tcPr>
            <w:tcW w:w="1795" w:type="dxa"/>
            <w:shd w:val="clear" w:color="auto" w:fill="FFFFFF" w:themeFill="background1" w:themeFillTint="33"/>
            <w:vAlign w:val="center"/>
          </w:tcPr>
          <w:p w14:paraId="624EBB41" w14:textId="77777777" w:rsidR="00CF77FB" w:rsidRPr="000631CE" w:rsidRDefault="00CF77FB" w:rsidP="00CF77FB">
            <w:pPr>
              <w:rPr>
                <w:rFonts w:cstheme="minorHAnsi"/>
                <w:sz w:val="18"/>
                <w:szCs w:val="18"/>
              </w:rPr>
            </w:pPr>
          </w:p>
        </w:tc>
        <w:tc>
          <w:tcPr>
            <w:tcW w:w="2746" w:type="dxa"/>
            <w:gridSpan w:val="2"/>
            <w:shd w:val="clear" w:color="auto" w:fill="24206B"/>
            <w:vAlign w:val="center"/>
          </w:tcPr>
          <w:p w14:paraId="01729032" w14:textId="77777777" w:rsidR="00CF77FB" w:rsidRPr="000631CE" w:rsidRDefault="00CF77FB" w:rsidP="00CF77FB">
            <w:pPr>
              <w:pStyle w:val="Tableheading"/>
            </w:pPr>
            <w:r w:rsidRPr="00983AE6">
              <w:rPr>
                <w:sz w:val="20"/>
              </w:rPr>
              <w:t>Total HELP debt/liability</w:t>
            </w:r>
          </w:p>
        </w:tc>
        <w:tc>
          <w:tcPr>
            <w:tcW w:w="1699" w:type="dxa"/>
            <w:shd w:val="clear" w:color="auto" w:fill="FFFFFF" w:themeFill="background1" w:themeFillTint="33"/>
            <w:vAlign w:val="center"/>
          </w:tcPr>
          <w:p w14:paraId="23129101" w14:textId="77777777" w:rsidR="00CF77FB" w:rsidRPr="000631CE" w:rsidRDefault="00CF77FB" w:rsidP="00CF77FB">
            <w:pPr>
              <w:rPr>
                <w:rFonts w:cstheme="minorHAnsi"/>
                <w:b/>
              </w:rPr>
            </w:pPr>
          </w:p>
        </w:tc>
        <w:tc>
          <w:tcPr>
            <w:tcW w:w="1418" w:type="dxa"/>
            <w:shd w:val="clear" w:color="auto" w:fill="FFFFFF" w:themeFill="background1" w:themeFillTint="33"/>
            <w:vAlign w:val="center"/>
          </w:tcPr>
          <w:p w14:paraId="1A5187BE" w14:textId="77777777" w:rsidR="00CF77FB" w:rsidRPr="000631CE" w:rsidRDefault="00CF77FB" w:rsidP="00CF77FB">
            <w:pPr>
              <w:rPr>
                <w:rFonts w:cstheme="minorHAnsi"/>
                <w:b/>
              </w:rPr>
            </w:pPr>
          </w:p>
        </w:tc>
        <w:tc>
          <w:tcPr>
            <w:tcW w:w="1559" w:type="dxa"/>
            <w:shd w:val="clear" w:color="auto" w:fill="FFFFFF" w:themeFill="background1" w:themeFillTint="33"/>
            <w:vAlign w:val="center"/>
          </w:tcPr>
          <w:p w14:paraId="44D141BA" w14:textId="77777777" w:rsidR="00CF77FB" w:rsidRPr="000631CE" w:rsidRDefault="00CF77FB" w:rsidP="00CF77FB">
            <w:pPr>
              <w:rPr>
                <w:rFonts w:cstheme="minorHAnsi"/>
                <w:b/>
              </w:rPr>
            </w:pPr>
          </w:p>
        </w:tc>
      </w:tr>
      <w:tr w:rsidR="00CF77FB" w:rsidRPr="000631CE" w14:paraId="5AD67DCD" w14:textId="77777777" w:rsidTr="005F300B">
        <w:trPr>
          <w:trHeight w:val="289"/>
        </w:trPr>
        <w:tc>
          <w:tcPr>
            <w:tcW w:w="1008" w:type="dxa"/>
            <w:shd w:val="clear" w:color="auto" w:fill="FFFFFF" w:themeFill="background1" w:themeFillTint="33"/>
            <w:vAlign w:val="center"/>
          </w:tcPr>
          <w:p w14:paraId="091E167E" w14:textId="77777777" w:rsidR="00CF77FB" w:rsidRPr="000631CE" w:rsidRDefault="00CF77FB" w:rsidP="00CF77FB">
            <w:pPr>
              <w:rPr>
                <w:rFonts w:cstheme="minorHAnsi"/>
                <w:sz w:val="18"/>
                <w:szCs w:val="18"/>
              </w:rPr>
            </w:pPr>
          </w:p>
        </w:tc>
        <w:tc>
          <w:tcPr>
            <w:tcW w:w="2016" w:type="dxa"/>
            <w:shd w:val="clear" w:color="auto" w:fill="FFFFFF" w:themeFill="background1" w:themeFillTint="33"/>
            <w:vAlign w:val="center"/>
          </w:tcPr>
          <w:p w14:paraId="625184B6" w14:textId="77777777" w:rsidR="00CF77FB" w:rsidRPr="000631CE" w:rsidRDefault="00CF77FB" w:rsidP="00CF77FB">
            <w:pPr>
              <w:rPr>
                <w:rFonts w:cstheme="minorHAnsi"/>
                <w:sz w:val="18"/>
                <w:szCs w:val="18"/>
              </w:rPr>
            </w:pPr>
          </w:p>
        </w:tc>
        <w:tc>
          <w:tcPr>
            <w:tcW w:w="1674" w:type="dxa"/>
            <w:shd w:val="clear" w:color="auto" w:fill="FFFFFF" w:themeFill="background1" w:themeFillTint="33"/>
            <w:vAlign w:val="center"/>
          </w:tcPr>
          <w:p w14:paraId="6C5D2902" w14:textId="77777777" w:rsidR="00CF77FB" w:rsidRPr="000631CE" w:rsidRDefault="00CF77FB" w:rsidP="00CF77FB">
            <w:pPr>
              <w:rPr>
                <w:rFonts w:cstheme="minorHAnsi"/>
              </w:rPr>
            </w:pPr>
          </w:p>
        </w:tc>
        <w:tc>
          <w:tcPr>
            <w:tcW w:w="1881" w:type="dxa"/>
            <w:shd w:val="clear" w:color="auto" w:fill="FFFFFF" w:themeFill="background1" w:themeFillTint="33"/>
            <w:vAlign w:val="center"/>
          </w:tcPr>
          <w:p w14:paraId="4CFB2B56" w14:textId="77777777" w:rsidR="00CF77FB" w:rsidRPr="000631CE" w:rsidRDefault="00CF77FB" w:rsidP="00CF77FB">
            <w:pPr>
              <w:rPr>
                <w:rFonts w:cstheme="minorHAnsi"/>
                <w:sz w:val="18"/>
                <w:szCs w:val="18"/>
              </w:rPr>
            </w:pPr>
          </w:p>
        </w:tc>
        <w:tc>
          <w:tcPr>
            <w:tcW w:w="1795" w:type="dxa"/>
            <w:shd w:val="clear" w:color="auto" w:fill="FFFFFF" w:themeFill="background1" w:themeFillTint="33"/>
            <w:vAlign w:val="center"/>
          </w:tcPr>
          <w:p w14:paraId="5ABA5496" w14:textId="77777777" w:rsidR="00CF77FB" w:rsidRPr="000631CE" w:rsidRDefault="00CF77FB" w:rsidP="00CF77FB">
            <w:pPr>
              <w:rPr>
                <w:rFonts w:cstheme="minorHAnsi"/>
                <w:sz w:val="18"/>
                <w:szCs w:val="18"/>
              </w:rPr>
            </w:pPr>
          </w:p>
        </w:tc>
        <w:tc>
          <w:tcPr>
            <w:tcW w:w="2746" w:type="dxa"/>
            <w:gridSpan w:val="2"/>
            <w:shd w:val="clear" w:color="auto" w:fill="FFFFFF" w:themeFill="background1" w:themeFillTint="33"/>
            <w:vAlign w:val="center"/>
          </w:tcPr>
          <w:p w14:paraId="394BF03C" w14:textId="77777777" w:rsidR="00CF77FB" w:rsidRPr="000631CE" w:rsidRDefault="00CF77FB" w:rsidP="00CF77FB">
            <w:pPr>
              <w:jc w:val="right"/>
              <w:rPr>
                <w:rFonts w:cstheme="minorHAnsi"/>
                <w:sz w:val="18"/>
                <w:szCs w:val="18"/>
              </w:rPr>
            </w:pPr>
            <w:r w:rsidRPr="000631CE">
              <w:rPr>
                <w:rFonts w:cstheme="minorHAnsi"/>
                <w:b/>
              </w:rPr>
              <w:t>$1350</w:t>
            </w:r>
          </w:p>
        </w:tc>
        <w:tc>
          <w:tcPr>
            <w:tcW w:w="1699" w:type="dxa"/>
            <w:shd w:val="clear" w:color="auto" w:fill="FFFFFF" w:themeFill="background1" w:themeFillTint="33"/>
            <w:vAlign w:val="center"/>
          </w:tcPr>
          <w:p w14:paraId="314BFD4C" w14:textId="77777777" w:rsidR="00CF77FB" w:rsidRPr="000631CE" w:rsidRDefault="00CF77FB" w:rsidP="00CF77FB">
            <w:pPr>
              <w:rPr>
                <w:rFonts w:cstheme="minorHAnsi"/>
                <w:b/>
              </w:rPr>
            </w:pPr>
          </w:p>
        </w:tc>
        <w:tc>
          <w:tcPr>
            <w:tcW w:w="1418" w:type="dxa"/>
            <w:shd w:val="clear" w:color="auto" w:fill="FFFFFF" w:themeFill="background1" w:themeFillTint="33"/>
            <w:vAlign w:val="center"/>
          </w:tcPr>
          <w:p w14:paraId="4B411BBC" w14:textId="77777777" w:rsidR="00CF77FB" w:rsidRPr="000631CE" w:rsidRDefault="00CF77FB" w:rsidP="00CF77FB">
            <w:pPr>
              <w:rPr>
                <w:rFonts w:cstheme="minorHAnsi"/>
                <w:b/>
              </w:rPr>
            </w:pPr>
          </w:p>
        </w:tc>
        <w:tc>
          <w:tcPr>
            <w:tcW w:w="1559" w:type="dxa"/>
            <w:shd w:val="clear" w:color="auto" w:fill="FFFFFF" w:themeFill="background1" w:themeFillTint="33"/>
            <w:vAlign w:val="center"/>
          </w:tcPr>
          <w:p w14:paraId="1BD1CDF2" w14:textId="77777777" w:rsidR="00CF77FB" w:rsidRPr="000631CE" w:rsidRDefault="00CF77FB" w:rsidP="00CF77FB">
            <w:pPr>
              <w:rPr>
                <w:rFonts w:cstheme="minorHAnsi"/>
                <w:b/>
              </w:rPr>
            </w:pPr>
          </w:p>
        </w:tc>
      </w:tr>
    </w:tbl>
    <w:p w14:paraId="71A506D9" w14:textId="77777777" w:rsidR="00983AE6" w:rsidRPr="00736F23" w:rsidRDefault="00983AE6" w:rsidP="00983AE6">
      <w:pPr>
        <w:pStyle w:val="Numpara4"/>
        <w:numPr>
          <w:ilvl w:val="0"/>
          <w:numId w:val="0"/>
        </w:numPr>
        <w:spacing w:before="0"/>
        <w:ind w:left="1701"/>
        <w:rPr>
          <w:rFonts w:asciiTheme="minorHAnsi" w:hAnsiTheme="minorHAnsi" w:cstheme="minorHAnsi"/>
          <w:sz w:val="20"/>
          <w:szCs w:val="20"/>
        </w:rPr>
        <w:sectPr w:rsidR="00983AE6" w:rsidRPr="00736F23" w:rsidSect="005F300B">
          <w:footerReference w:type="default" r:id="rId128"/>
          <w:headerReference w:type="first" r:id="rId129"/>
          <w:footerReference w:type="first" r:id="rId130"/>
          <w:pgSz w:w="16838" w:h="11906" w:orient="landscape" w:code="9"/>
          <w:pgMar w:top="568" w:right="678" w:bottom="426" w:left="1276" w:header="284" w:footer="0" w:gutter="0"/>
          <w:cols w:space="708"/>
          <w:titlePg/>
          <w:docGrid w:linePitch="360"/>
        </w:sectPr>
      </w:pPr>
    </w:p>
    <w:p w14:paraId="6304A9D1" w14:textId="77777777" w:rsidR="00983AE6" w:rsidRPr="00736F23" w:rsidRDefault="00983AE6" w:rsidP="009B6106">
      <w:pPr>
        <w:pStyle w:val="Heading2"/>
      </w:pPr>
      <w:bookmarkStart w:id="4843" w:name="_Appendix_E_–_1"/>
      <w:bookmarkStart w:id="4844" w:name="_Toc471374635"/>
      <w:bookmarkStart w:id="4845" w:name="_Toc477960076"/>
      <w:bookmarkStart w:id="4846" w:name="_Toc483222965"/>
      <w:bookmarkStart w:id="4847" w:name="_Toc501621277"/>
      <w:bookmarkEnd w:id="4843"/>
      <w:r w:rsidRPr="00736F23">
        <w:lastRenderedPageBreak/>
        <w:t xml:space="preserve">Appendix </w:t>
      </w:r>
      <w:r>
        <w:t xml:space="preserve">E </w:t>
      </w:r>
      <w:r w:rsidRPr="00736F23">
        <w:t>– Notice of rights of review</w:t>
      </w:r>
      <w:bookmarkEnd w:id="4844"/>
      <w:bookmarkEnd w:id="4845"/>
      <w:bookmarkEnd w:id="4846"/>
      <w:bookmarkEnd w:id="4847"/>
    </w:p>
    <w:p w14:paraId="44F3A1D9" w14:textId="77777777" w:rsidR="00983AE6" w:rsidRPr="00736F23" w:rsidRDefault="00983AE6" w:rsidP="00983AE6">
      <w:r w:rsidRPr="00736F23">
        <w:t xml:space="preserve">When a reviewable VET decision has been made or reconsidered the person must be provided with a notice of rights of review along with the reasons for the decision/reconsideration. </w:t>
      </w:r>
      <w:r>
        <w:t>(Reviewable decisions are set out at section 74 of the Act and include ‘special circumstances’ decisions made by a provider under section 68 of the Act. Other decisions, which are not reviewable, may be reconsidered under section 81 of the Act).</w:t>
      </w:r>
    </w:p>
    <w:p w14:paraId="5194E363" w14:textId="77777777" w:rsidR="00983AE6" w:rsidRPr="00736F23" w:rsidRDefault="00983AE6" w:rsidP="00983AE6">
      <w:r w:rsidRPr="00736F23">
        <w:t xml:space="preserve">A copy of the AAT Code of Practice for Notification of Reviewable Decisions and Rights of Review is available at </w:t>
      </w:r>
      <w:hyperlink r:id="rId131" w:history="1">
        <w:r w:rsidRPr="00736169">
          <w:rPr>
            <w:rStyle w:val="Hyperlink"/>
          </w:rPr>
          <w:t>www.comlaw.gov.au/Series/F2006B11660</w:t>
        </w:r>
      </w:hyperlink>
      <w:r w:rsidR="00EB1B9C">
        <w:rPr>
          <w:rStyle w:val="Hyperlink"/>
        </w:rPr>
        <w:t>.</w:t>
      </w:r>
    </w:p>
    <w:p w14:paraId="57E439D6" w14:textId="77777777" w:rsidR="00983AE6" w:rsidRDefault="00983AE6" w:rsidP="00983AE6">
      <w:r w:rsidRPr="00736F23">
        <w:t>The first rights of review notice need</w:t>
      </w:r>
      <w:r>
        <w:t>s</w:t>
      </w:r>
      <w:r w:rsidRPr="00736F23">
        <w:t xml:space="preserve"> to be provided after a reviewable decision has been made. An example of this is as follows</w:t>
      </w:r>
      <w:r>
        <w:t xml:space="preserve"> (however, providers are responsible for ensuring that they satisfy the legislative requirements for such a notice)</w:t>
      </w:r>
      <w:r w:rsidRPr="00736F23">
        <w:t>:</w:t>
      </w:r>
    </w:p>
    <w:p w14:paraId="698B9DA8" w14:textId="77777777" w:rsidR="00983AE6" w:rsidRPr="00736169" w:rsidRDefault="00983AE6" w:rsidP="00983AE6">
      <w:pPr>
        <w:rPr>
          <w:rStyle w:val="Strong"/>
        </w:rPr>
      </w:pPr>
      <w:r w:rsidRPr="00736169">
        <w:rPr>
          <w:rStyle w:val="Strong"/>
        </w:rPr>
        <w:t>THIS TYPE OF NOTICE SHOULD ONLY BE PROVIDED WHEN A REVIEWABLE DECISION HAS BEEN MADE</w:t>
      </w:r>
    </w:p>
    <w:tbl>
      <w:tblPr>
        <w:tblStyle w:val="TableGrid"/>
        <w:tblW w:w="0" w:type="auto"/>
        <w:tblLook w:val="04A0" w:firstRow="1" w:lastRow="0" w:firstColumn="1" w:lastColumn="0" w:noHBand="0" w:noVBand="1"/>
        <w:tblCaption w:val="REVIEWABLE DECISION – REVIEW RIGHTS"/>
        <w:tblDescription w:val="This text box provides information on REVIEWABLE DECISION – REVIEW RIGHTS, If you think this decision is wrong, you may request reconsideration of this decision by someone who was not involved in making this decision. You will need to make your request in writing and must include the following information:&#10;• the date of this decision and &#10;• the reasons why you are requesting reconsideration.&#10;You should also include any additional evidence that you think is relevant to the reconsideration of the decision. &#10;Send or deliver the reconsideration request to: [INSERT POSTAL ADDRESS or EMAIL ADDRESS]&#10;Time limits apply. Your application must be made within 28 days after the day on which you were notified of the decision. [Or insert greater time period – but no less than 28 days: VET Student Loans Act 2016, section 76(2).]&#10;On receiving a request for reconsideration, [INSERT NAME, POSITION] will:&#10;• review the original decision &#10;• consider the reasons why you are requesting a reconsideration&#10;• assess any new evidence provided by you &#10;• provide you with a written notice of the decision, with a statement of reasons.&#10;If you do not receive a response within 45 days of your request for reconsideration, the original decision is taken to be confirmed.&#10;If, after [INSERT NAME, POSITION] has reconsidered the decision, you are dissatisfied with the outcome, you may apply to the Administrative Appeals Tribunal (AAT) for a review of decision. The application must be lodged at the AAT within 28 days of receiving notice of [INSERT NAME, POSITION]’s decision. You will be provided with further information about this process at the time you are notified of that decision.&#10;See www.aat.gov.au  for further information on this process.&#10;"/>
      </w:tblPr>
      <w:tblGrid>
        <w:gridCol w:w="9242"/>
      </w:tblGrid>
      <w:tr w:rsidR="00983AE6" w:rsidRPr="00736F23" w14:paraId="231AB71E" w14:textId="77777777" w:rsidTr="005F300B">
        <w:tc>
          <w:tcPr>
            <w:tcW w:w="9242" w:type="dxa"/>
          </w:tcPr>
          <w:p w14:paraId="2C2C2AD9" w14:textId="77777777" w:rsidR="00983AE6" w:rsidRPr="00736F23" w:rsidRDefault="00983AE6" w:rsidP="001924F4">
            <w:pPr>
              <w:pStyle w:val="Heading4"/>
              <w:outlineLvl w:val="3"/>
            </w:pPr>
            <w:r>
              <w:t>REVIEWABLE DECISION – REVIEW RIGHTS</w:t>
            </w:r>
          </w:p>
          <w:p w14:paraId="35748121" w14:textId="77777777" w:rsidR="00983AE6" w:rsidRPr="00736F23" w:rsidRDefault="00983AE6" w:rsidP="005F300B">
            <w:pPr>
              <w:spacing w:after="120"/>
            </w:pPr>
            <w:r w:rsidRPr="00736F23">
              <w:t>If you think this decision is wrong, you may request reconsideration</w:t>
            </w:r>
            <w:r>
              <w:t xml:space="preserve"> of this decision</w:t>
            </w:r>
            <w:r w:rsidRPr="00736F23">
              <w:t xml:space="preserve"> by someone who was not involved in making this decision. You will need to make your request in writing and must include the following information:</w:t>
            </w:r>
          </w:p>
          <w:p w14:paraId="518A8E9A" w14:textId="77777777" w:rsidR="00983AE6" w:rsidRPr="00736F23" w:rsidRDefault="00983AE6" w:rsidP="00A0727A">
            <w:pPr>
              <w:pStyle w:val="ListBullet"/>
              <w:numPr>
                <w:ilvl w:val="0"/>
                <w:numId w:val="74"/>
              </w:numPr>
            </w:pPr>
            <w:r w:rsidRPr="00736F23">
              <w:t xml:space="preserve">the date of this decision and </w:t>
            </w:r>
          </w:p>
          <w:p w14:paraId="4B8D8BF3" w14:textId="77777777" w:rsidR="00983AE6" w:rsidRPr="00736F23" w:rsidRDefault="00983AE6" w:rsidP="00A0727A">
            <w:pPr>
              <w:pStyle w:val="ListBullet"/>
              <w:numPr>
                <w:ilvl w:val="0"/>
                <w:numId w:val="74"/>
              </w:numPr>
            </w:pPr>
            <w:r w:rsidRPr="00736F23">
              <w:t>the reasons why you are requesting reconsideration.</w:t>
            </w:r>
          </w:p>
          <w:p w14:paraId="103ED999" w14:textId="77777777" w:rsidR="00983AE6" w:rsidRPr="00736F23" w:rsidRDefault="00983AE6" w:rsidP="005F300B">
            <w:pPr>
              <w:spacing w:after="120"/>
            </w:pPr>
            <w:r w:rsidRPr="00736F23">
              <w:t>You should also include any additional evidence that you think is relevant</w:t>
            </w:r>
            <w:r>
              <w:t xml:space="preserve"> to the reconsideration of the decision</w:t>
            </w:r>
            <w:r w:rsidRPr="00736F23">
              <w:t xml:space="preserve">. </w:t>
            </w:r>
          </w:p>
          <w:p w14:paraId="562E80C6" w14:textId="77777777" w:rsidR="00983AE6" w:rsidRDefault="00983AE6" w:rsidP="005F300B">
            <w:pPr>
              <w:spacing w:after="120"/>
            </w:pPr>
            <w:r w:rsidRPr="00736F23">
              <w:t>Send or deliver the reconsideration request to: [INSERT POSTAL ADDRESS</w:t>
            </w:r>
            <w:r>
              <w:t xml:space="preserve"> or EMAIL ADDRESS</w:t>
            </w:r>
            <w:r w:rsidRPr="00736F23">
              <w:t>]</w:t>
            </w:r>
          </w:p>
          <w:p w14:paraId="510EFCA0" w14:textId="77777777" w:rsidR="00983AE6" w:rsidRPr="00736F23" w:rsidRDefault="00983AE6" w:rsidP="005F300B">
            <w:pPr>
              <w:spacing w:after="120"/>
            </w:pPr>
          </w:p>
          <w:p w14:paraId="46FE7804" w14:textId="77777777" w:rsidR="00983AE6" w:rsidRPr="00736F23" w:rsidRDefault="00983AE6" w:rsidP="005F300B">
            <w:pPr>
              <w:spacing w:after="120"/>
            </w:pPr>
            <w:r w:rsidRPr="00736F23">
              <w:t xml:space="preserve">Time limits apply. Your application must be made within 28 days </w:t>
            </w:r>
            <w:r>
              <w:t xml:space="preserve">after the day on which you were notified of the decision. </w:t>
            </w:r>
            <w:r w:rsidRPr="00736F23">
              <w:t xml:space="preserve">[Or insert greater time period – but no less than 28 days: </w:t>
            </w:r>
            <w:r>
              <w:rPr>
                <w:i/>
              </w:rPr>
              <w:t>VET </w:t>
            </w:r>
            <w:r w:rsidR="000D3B6E">
              <w:rPr>
                <w:i/>
              </w:rPr>
              <w:t>Student Loans </w:t>
            </w:r>
            <w:r w:rsidRPr="00736F23">
              <w:rPr>
                <w:i/>
              </w:rPr>
              <w:t>Act 2016,</w:t>
            </w:r>
            <w:r w:rsidRPr="00736F23">
              <w:t xml:space="preserve"> section 76(2).</w:t>
            </w:r>
            <w:r>
              <w:t>]</w:t>
            </w:r>
          </w:p>
          <w:p w14:paraId="2B4F0EE4" w14:textId="77777777" w:rsidR="00983AE6" w:rsidRPr="00736F23" w:rsidRDefault="00983AE6" w:rsidP="005F300B">
            <w:pPr>
              <w:spacing w:after="120"/>
            </w:pPr>
            <w:r>
              <w:t xml:space="preserve">On receiving a request for reconsideration, </w:t>
            </w:r>
            <w:r w:rsidRPr="00736F23">
              <w:t>[INSERT NAME, POSITION] will:</w:t>
            </w:r>
          </w:p>
          <w:p w14:paraId="12FB07B7" w14:textId="77777777" w:rsidR="00983AE6" w:rsidRPr="00736169" w:rsidRDefault="00983AE6" w:rsidP="00A0727A">
            <w:pPr>
              <w:pStyle w:val="ListBullet"/>
              <w:numPr>
                <w:ilvl w:val="0"/>
                <w:numId w:val="74"/>
              </w:numPr>
            </w:pPr>
            <w:r w:rsidRPr="00736169">
              <w:t xml:space="preserve">review the original decision </w:t>
            </w:r>
          </w:p>
          <w:p w14:paraId="4363A483" w14:textId="77777777" w:rsidR="00983AE6" w:rsidRPr="00736169" w:rsidRDefault="00983AE6" w:rsidP="00A0727A">
            <w:pPr>
              <w:pStyle w:val="ListBullet"/>
              <w:numPr>
                <w:ilvl w:val="0"/>
                <w:numId w:val="74"/>
              </w:numPr>
            </w:pPr>
            <w:r w:rsidRPr="00736169">
              <w:t>consider the reasons why you are requesting a reconsideration</w:t>
            </w:r>
          </w:p>
          <w:p w14:paraId="60AB15CC" w14:textId="77777777" w:rsidR="00983AE6" w:rsidRPr="00736169" w:rsidRDefault="00983AE6" w:rsidP="00A0727A">
            <w:pPr>
              <w:pStyle w:val="ListBullet"/>
              <w:numPr>
                <w:ilvl w:val="0"/>
                <w:numId w:val="74"/>
              </w:numPr>
            </w:pPr>
            <w:r w:rsidRPr="00736169">
              <w:t xml:space="preserve">assess any new evidence provided by you </w:t>
            </w:r>
          </w:p>
          <w:p w14:paraId="1E7015A4" w14:textId="77777777" w:rsidR="00983AE6" w:rsidRPr="00736169" w:rsidRDefault="00983AE6" w:rsidP="00A0727A">
            <w:pPr>
              <w:pStyle w:val="ListBullet"/>
              <w:numPr>
                <w:ilvl w:val="0"/>
                <w:numId w:val="74"/>
              </w:numPr>
            </w:pPr>
            <w:r w:rsidRPr="00736169">
              <w:t>provide you with a written notice of the decision, with a statement of reasons.</w:t>
            </w:r>
          </w:p>
          <w:p w14:paraId="4CFB08F2" w14:textId="77777777" w:rsidR="00983AE6" w:rsidRPr="00736F23" w:rsidRDefault="00983AE6" w:rsidP="005F300B">
            <w:pPr>
              <w:spacing w:after="120"/>
              <w:rPr>
                <w:lang w:val="en"/>
              </w:rPr>
            </w:pPr>
            <w:r w:rsidRPr="00736F23">
              <w:rPr>
                <w:lang w:val="en"/>
              </w:rPr>
              <w:t xml:space="preserve">If </w:t>
            </w:r>
            <w:r>
              <w:rPr>
                <w:lang w:val="en"/>
              </w:rPr>
              <w:t xml:space="preserve">you do not receive a </w:t>
            </w:r>
            <w:r w:rsidRPr="00736F23">
              <w:rPr>
                <w:lang w:val="en"/>
              </w:rPr>
              <w:t>response within 45 days of your request</w:t>
            </w:r>
            <w:r>
              <w:rPr>
                <w:lang w:val="en"/>
              </w:rPr>
              <w:t xml:space="preserve"> for reconsideration</w:t>
            </w:r>
            <w:r w:rsidRPr="00736F23">
              <w:rPr>
                <w:lang w:val="en"/>
              </w:rPr>
              <w:t>, the original decision is taken to be confirmed.</w:t>
            </w:r>
          </w:p>
          <w:p w14:paraId="559319FC" w14:textId="77777777" w:rsidR="00983AE6" w:rsidRPr="00736F23" w:rsidRDefault="00983AE6" w:rsidP="005F300B">
            <w:pPr>
              <w:spacing w:after="120"/>
            </w:pPr>
            <w:r w:rsidRPr="00736F23">
              <w:t>If, after [INSERT NAME, POSITION] has reconsidered the decision, you are dissatisfied with the outcome, you may apply to the Administrative Appeals Tribunal (AAT) for a review of decision. The application must be lodged at the AAT within 28 days of receiving notice of [INSERT NAME, POSITION]’s decision. You will be provided with further information about this process at the time you are notified of that decision.</w:t>
            </w:r>
          </w:p>
          <w:p w14:paraId="0758ABDF" w14:textId="77777777" w:rsidR="00983AE6" w:rsidRPr="00736F23" w:rsidRDefault="00983AE6" w:rsidP="005F300B">
            <w:pPr>
              <w:rPr>
                <w:sz w:val="20"/>
                <w:szCs w:val="20"/>
              </w:rPr>
            </w:pPr>
            <w:r w:rsidRPr="00736F23">
              <w:t xml:space="preserve">See </w:t>
            </w:r>
            <w:hyperlink r:id="rId132" w:history="1">
              <w:r w:rsidRPr="00736169">
                <w:rPr>
                  <w:rStyle w:val="Hyperlink"/>
                </w:rPr>
                <w:t>www.aat.gov.au</w:t>
              </w:r>
            </w:hyperlink>
            <w:r>
              <w:t xml:space="preserve"> </w:t>
            </w:r>
            <w:r w:rsidRPr="00736F23">
              <w:t xml:space="preserve"> for further information on this process.</w:t>
            </w:r>
          </w:p>
          <w:p w14:paraId="6FC63CE3" w14:textId="77777777" w:rsidR="00983AE6" w:rsidRPr="00736F23" w:rsidRDefault="00983AE6" w:rsidP="005F300B">
            <w:pPr>
              <w:spacing w:before="240"/>
              <w:rPr>
                <w:rFonts w:cstheme="minorHAnsi"/>
                <w:sz w:val="20"/>
                <w:szCs w:val="20"/>
              </w:rPr>
            </w:pPr>
          </w:p>
        </w:tc>
      </w:tr>
    </w:tbl>
    <w:p w14:paraId="52EFCE0B" w14:textId="07B6E864" w:rsidR="00983AE6" w:rsidRDefault="00983AE6" w:rsidP="009B6106">
      <w:pPr>
        <w:pStyle w:val="Heading2"/>
      </w:pPr>
      <w:bookmarkStart w:id="4848" w:name="_Appendix_G_–"/>
      <w:bookmarkStart w:id="4849" w:name="_Appendix_F_–"/>
      <w:bookmarkStart w:id="4850" w:name="_Appendix_F_–Fees"/>
      <w:bookmarkStart w:id="4851" w:name="_Toc471374636"/>
      <w:bookmarkStart w:id="4852" w:name="_Toc477960077"/>
      <w:bookmarkStart w:id="4853" w:name="_Toc483222966"/>
      <w:bookmarkStart w:id="4854" w:name="_Toc501621278"/>
      <w:bookmarkEnd w:id="4848"/>
      <w:bookmarkEnd w:id="4849"/>
      <w:bookmarkEnd w:id="4850"/>
      <w:r w:rsidRPr="00736F23">
        <w:lastRenderedPageBreak/>
        <w:t xml:space="preserve">Appendix </w:t>
      </w:r>
      <w:r>
        <w:t>F</w:t>
      </w:r>
      <w:r w:rsidRPr="00736F23">
        <w:t xml:space="preserve"> –</w:t>
      </w:r>
      <w:r w:rsidR="00CF77FB">
        <w:t xml:space="preserve"> </w:t>
      </w:r>
      <w:r w:rsidRPr="00277E13">
        <w:t xml:space="preserve">Fees that are not covered </w:t>
      </w:r>
      <w:bookmarkEnd w:id="4851"/>
      <w:r w:rsidRPr="00277E13">
        <w:t>by VET Student Loans</w:t>
      </w:r>
      <w:bookmarkEnd w:id="4852"/>
      <w:bookmarkEnd w:id="4853"/>
      <w:bookmarkEnd w:id="4854"/>
    </w:p>
    <w:p w14:paraId="54C05529" w14:textId="0EDD840F" w:rsidR="00B9242E" w:rsidRPr="00B9242E" w:rsidRDefault="00C7239B" w:rsidP="00B9242E">
      <w:r>
        <w:t xml:space="preserve">Charges for some goods and services must </w:t>
      </w:r>
      <w:r w:rsidRPr="0028499D">
        <w:rPr>
          <w:u w:val="single"/>
        </w:rPr>
        <w:t>not</w:t>
      </w:r>
      <w:r>
        <w:t xml:space="preserve"> be included in the tuition fee for a course, as a loan is not available. </w:t>
      </w:r>
      <w:r w:rsidR="00B9242E" w:rsidRPr="00B9242E">
        <w:t>A provider must not have regard to any of the following when determining VET tuition fees. Therefore a separate fee will need to be charged for any of the following, subject to the requirement that to charge fees other than tuition fees, the provider must have processes and procedures in place that meet the requirements of section 93 of the Rules</w:t>
      </w:r>
    </w:p>
    <w:tbl>
      <w:tblPr>
        <w:tblStyle w:val="MadTabPlumShade"/>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ees that are not covered by VET Student Loans"/>
        <w:tblDescription w:val="Fees that are not covered by VET Student Loans"/>
      </w:tblPr>
      <w:tblGrid>
        <w:gridCol w:w="4111"/>
        <w:gridCol w:w="5103"/>
      </w:tblGrid>
      <w:tr w:rsidR="00983AE6" w:rsidRPr="00496698" w14:paraId="6AB146F4" w14:textId="77777777" w:rsidTr="00B92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24206B"/>
          </w:tcPr>
          <w:p w14:paraId="718FE593" w14:textId="77777777" w:rsidR="00983AE6" w:rsidRPr="00721254" w:rsidRDefault="00983AE6" w:rsidP="00B9242E">
            <w:pPr>
              <w:pStyle w:val="Tableheading"/>
              <w:rPr>
                <w:rStyle w:val="Emphasis"/>
                <w:rFonts w:eastAsiaTheme="majorEastAsia"/>
                <w:b/>
                <w:bCs w:val="0"/>
                <w:i w:val="0"/>
                <w:iCs w:val="0"/>
                <w:spacing w:val="0"/>
                <w:sz w:val="20"/>
                <w:szCs w:val="20"/>
              </w:rPr>
            </w:pPr>
            <w:r w:rsidRPr="00721254">
              <w:rPr>
                <w:rStyle w:val="Emphasis"/>
                <w:rFonts w:eastAsiaTheme="majorEastAsia"/>
                <w:b/>
                <w:bCs w:val="0"/>
                <w:i w:val="0"/>
                <w:iCs w:val="0"/>
                <w:spacing w:val="0"/>
                <w:sz w:val="20"/>
                <w:szCs w:val="20"/>
              </w:rPr>
              <w:t>Fees and charges</w:t>
            </w:r>
          </w:p>
        </w:tc>
        <w:tc>
          <w:tcPr>
            <w:tcW w:w="5103" w:type="dxa"/>
            <w:shd w:val="clear" w:color="auto" w:fill="24206B"/>
          </w:tcPr>
          <w:p w14:paraId="386736E2" w14:textId="77777777" w:rsidR="00983AE6" w:rsidRPr="00721254" w:rsidRDefault="00983AE6" w:rsidP="00B9242E">
            <w:pPr>
              <w:pStyle w:val="Tableheading"/>
              <w:cnfStyle w:val="100000000000" w:firstRow="1" w:lastRow="0" w:firstColumn="0" w:lastColumn="0" w:oddVBand="0" w:evenVBand="0" w:oddHBand="0" w:evenHBand="0" w:firstRowFirstColumn="0" w:firstRowLastColumn="0" w:lastRowFirstColumn="0" w:lastRowLastColumn="0"/>
              <w:rPr>
                <w:rStyle w:val="Emphasis"/>
                <w:rFonts w:eastAsiaTheme="majorEastAsia"/>
                <w:b/>
                <w:bCs w:val="0"/>
                <w:i w:val="0"/>
                <w:iCs w:val="0"/>
                <w:spacing w:val="0"/>
                <w:sz w:val="20"/>
                <w:szCs w:val="20"/>
              </w:rPr>
            </w:pPr>
            <w:r w:rsidRPr="00721254">
              <w:rPr>
                <w:rStyle w:val="Emphasis"/>
                <w:rFonts w:eastAsiaTheme="majorEastAsia"/>
                <w:b/>
                <w:bCs w:val="0"/>
                <w:i w:val="0"/>
                <w:iCs w:val="0"/>
                <w:spacing w:val="0"/>
                <w:sz w:val="20"/>
                <w:szCs w:val="20"/>
              </w:rPr>
              <w:t>Examples</w:t>
            </w:r>
          </w:p>
        </w:tc>
      </w:tr>
      <w:tr w:rsidR="00983AE6" w:rsidRPr="00496698" w14:paraId="36F71DE4" w14:textId="77777777" w:rsidTr="00721254">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345039F7" w14:textId="439F4F16" w:rsidR="00983AE6" w:rsidRPr="00721254" w:rsidRDefault="00983AE6" w:rsidP="007C1B98">
            <w:pPr>
              <w:pStyle w:val="Tabletext"/>
              <w:spacing w:after="144"/>
              <w:rPr>
                <w:rFonts w:asciiTheme="minorHAnsi" w:hAnsiTheme="minorHAnsi" w:cstheme="minorHAnsi"/>
                <w:b w:val="0"/>
                <w:szCs w:val="20"/>
              </w:rPr>
            </w:pPr>
            <w:r w:rsidRPr="00721254">
              <w:rPr>
                <w:rFonts w:asciiTheme="minorHAnsi" w:hAnsiTheme="minorHAnsi" w:cstheme="minorHAnsi"/>
                <w:szCs w:val="20"/>
              </w:rPr>
              <w:t>Goods or services not essential to the course</w:t>
            </w:r>
          </w:p>
        </w:tc>
        <w:tc>
          <w:tcPr>
            <w:tcW w:w="5103" w:type="dxa"/>
            <w:shd w:val="clear" w:color="auto" w:fill="EEECE1" w:themeFill="background2"/>
          </w:tcPr>
          <w:p w14:paraId="04CC88C2"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access to internet and computer facilities, except where these are required as part of a course</w:t>
            </w:r>
          </w:p>
          <w:p w14:paraId="35A72DA7"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printing of notes from the internet or a portable hard drive or disc</w:t>
            </w:r>
          </w:p>
          <w:p w14:paraId="698F3BD4"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graduation ceremonies where students are not required to attend the ceremony to obtain their award</w:t>
            </w:r>
          </w:p>
        </w:tc>
      </w:tr>
      <w:tr w:rsidR="00983AE6" w:rsidRPr="00496698" w14:paraId="5F54F3AF" w14:textId="77777777" w:rsidTr="00721254">
        <w:trPr>
          <w:trHeight w:val="1831"/>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2F4AA16D" w14:textId="0C568493" w:rsidR="00983AE6" w:rsidRPr="00721254" w:rsidRDefault="00983AE6" w:rsidP="00C81E96">
            <w:pPr>
              <w:pStyle w:val="Tabletext"/>
              <w:spacing w:after="144"/>
              <w:rPr>
                <w:rFonts w:asciiTheme="minorHAnsi" w:hAnsiTheme="minorHAnsi" w:cstheme="minorHAnsi"/>
                <w:b w:val="0"/>
                <w:szCs w:val="20"/>
              </w:rPr>
            </w:pPr>
            <w:r w:rsidRPr="00721254">
              <w:rPr>
                <w:rFonts w:asciiTheme="minorHAnsi" w:hAnsiTheme="minorHAnsi" w:cstheme="minorHAnsi"/>
                <w:szCs w:val="20"/>
              </w:rPr>
              <w:t>Alternative forms of access to goods or services essential to the course, (where the provider also provides readily available access in another form at no additional cost to students)</w:t>
            </w:r>
          </w:p>
        </w:tc>
        <w:tc>
          <w:tcPr>
            <w:tcW w:w="5103" w:type="dxa"/>
            <w:shd w:val="clear" w:color="auto" w:fill="EEECE1" w:themeFill="background2"/>
          </w:tcPr>
          <w:p w14:paraId="5D1FA445"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lecture notes or recordings, provided that lectures are made readily available to students free of any additional charge (as lectures would be covered by tuition fees)</w:t>
            </w:r>
          </w:p>
          <w:p w14:paraId="21EDC475"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electronic provision of essential information if the information is also made readily available free of charge in another form (e.g. at the library or through the provider’s intranet)</w:t>
            </w:r>
          </w:p>
          <w:p w14:paraId="39968ABB"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 xml:space="preserve">reading material, such as anthologies of required readings, provided these texts are also made readily available free of charge (e.g. at the library or through the provider’s intranet). </w:t>
            </w:r>
          </w:p>
        </w:tc>
      </w:tr>
      <w:tr w:rsidR="00983AE6" w:rsidRPr="00496698" w14:paraId="70B28ECC" w14:textId="77777777" w:rsidTr="00721254">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591572EA" w14:textId="77777777" w:rsidR="00983AE6" w:rsidRPr="00721254" w:rsidRDefault="00983AE6" w:rsidP="00983AE6">
            <w:pPr>
              <w:pStyle w:val="Tabletext"/>
              <w:spacing w:after="144"/>
              <w:rPr>
                <w:rFonts w:asciiTheme="minorHAnsi" w:hAnsiTheme="minorHAnsi" w:cstheme="minorHAnsi"/>
                <w:b w:val="0"/>
                <w:szCs w:val="20"/>
              </w:rPr>
            </w:pPr>
            <w:r w:rsidRPr="00721254">
              <w:rPr>
                <w:rFonts w:asciiTheme="minorHAnsi" w:hAnsiTheme="minorHAnsi" w:cstheme="minorHAnsi"/>
                <w:szCs w:val="20"/>
              </w:rPr>
              <w:t>Course related goods or services that students have the choice of acquiring from a supplier other than the provider and are for:</w:t>
            </w:r>
          </w:p>
          <w:p w14:paraId="26E65BE4" w14:textId="77777777" w:rsidR="00983AE6" w:rsidRPr="00721254" w:rsidRDefault="00983AE6" w:rsidP="00983AE6">
            <w:pPr>
              <w:pStyle w:val="Tabletext"/>
              <w:spacing w:after="144"/>
              <w:rPr>
                <w:rFonts w:asciiTheme="minorHAnsi" w:hAnsiTheme="minorHAnsi" w:cstheme="minorHAnsi"/>
                <w:b w:val="0"/>
                <w:szCs w:val="20"/>
              </w:rPr>
            </w:pPr>
            <w:r w:rsidRPr="00721254">
              <w:rPr>
                <w:rFonts w:asciiTheme="minorHAnsi" w:hAnsiTheme="minorHAnsi" w:cstheme="minorHAnsi"/>
                <w:szCs w:val="20"/>
              </w:rPr>
              <w:t xml:space="preserve">equipment or items that become the student’s physical property and are not consumed in the course </w:t>
            </w:r>
          </w:p>
          <w:p w14:paraId="6E600E58" w14:textId="77777777" w:rsidR="00983AE6" w:rsidRPr="00721254" w:rsidRDefault="00983AE6" w:rsidP="00983AE6">
            <w:pPr>
              <w:pStyle w:val="Tabletext"/>
              <w:spacing w:after="144"/>
              <w:rPr>
                <w:rFonts w:asciiTheme="minorHAnsi" w:hAnsiTheme="minorHAnsi" w:cstheme="minorHAnsi"/>
                <w:b w:val="0"/>
                <w:szCs w:val="20"/>
              </w:rPr>
            </w:pPr>
            <w:r w:rsidRPr="00721254">
              <w:rPr>
                <w:rFonts w:asciiTheme="minorHAnsi" w:hAnsiTheme="minorHAnsi" w:cstheme="minorHAnsi"/>
                <w:szCs w:val="20"/>
              </w:rPr>
              <w:t>OR</w:t>
            </w:r>
          </w:p>
          <w:p w14:paraId="761341F9" w14:textId="77777777" w:rsidR="00983AE6" w:rsidRPr="00721254" w:rsidRDefault="00983AE6" w:rsidP="00983AE6">
            <w:pPr>
              <w:pStyle w:val="Tabletext"/>
              <w:spacing w:after="144"/>
              <w:rPr>
                <w:rFonts w:asciiTheme="minorHAnsi" w:hAnsiTheme="minorHAnsi" w:cstheme="minorHAnsi"/>
                <w:b w:val="0"/>
                <w:szCs w:val="20"/>
              </w:rPr>
            </w:pPr>
            <w:r w:rsidRPr="00721254">
              <w:rPr>
                <w:rFonts w:asciiTheme="minorHAnsi" w:hAnsiTheme="minorHAnsi" w:cstheme="minorHAnsi"/>
                <w:szCs w:val="20"/>
              </w:rPr>
              <w:t xml:space="preserve">food, transport and accommodation costs associated with the provision of field trips that form part of the course </w:t>
            </w:r>
          </w:p>
        </w:tc>
        <w:tc>
          <w:tcPr>
            <w:tcW w:w="5103" w:type="dxa"/>
            <w:shd w:val="clear" w:color="auto" w:fill="EEECE1" w:themeFill="background2"/>
          </w:tcPr>
          <w:p w14:paraId="5BD6DEF9"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artwork supplies</w:t>
            </w:r>
          </w:p>
          <w:p w14:paraId="5D34D77D"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fabric for sewing class</w:t>
            </w:r>
          </w:p>
          <w:p w14:paraId="4F3BB8DE"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musical instruments</w:t>
            </w:r>
          </w:p>
          <w:p w14:paraId="412FEA0D"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protective clothing or footwear</w:t>
            </w:r>
          </w:p>
          <w:p w14:paraId="6632C08C"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tool kits</w:t>
            </w:r>
          </w:p>
          <w:p w14:paraId="4411B42B"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stethoscopes</w:t>
            </w:r>
          </w:p>
          <w:p w14:paraId="7639B261"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dance shoes</w:t>
            </w:r>
          </w:p>
          <w:p w14:paraId="1E7D2E7F"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reference texts</w:t>
            </w:r>
          </w:p>
          <w:p w14:paraId="436D9055"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meals, snacks, beverages</w:t>
            </w:r>
          </w:p>
          <w:p w14:paraId="5D46F0AF"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 xml:space="preserve">bus tickets or airfares </w:t>
            </w:r>
          </w:p>
          <w:p w14:paraId="058C4152"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 xml:space="preserve">hotels or camping fees </w:t>
            </w:r>
          </w:p>
        </w:tc>
      </w:tr>
      <w:tr w:rsidR="00983AE6" w:rsidRPr="00496698" w14:paraId="6FA24FC6" w14:textId="77777777" w:rsidTr="00721254">
        <w:trPr>
          <w:trHeight w:val="1116"/>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0D1D282A" w14:textId="77777777" w:rsidR="00983AE6" w:rsidRPr="00721254" w:rsidRDefault="00983AE6" w:rsidP="00983AE6">
            <w:pPr>
              <w:pStyle w:val="Tabletext"/>
              <w:spacing w:after="144"/>
              <w:rPr>
                <w:rFonts w:asciiTheme="minorHAnsi" w:hAnsiTheme="minorHAnsi" w:cstheme="minorHAnsi"/>
                <w:b w:val="0"/>
                <w:szCs w:val="20"/>
              </w:rPr>
            </w:pPr>
            <w:r w:rsidRPr="00721254">
              <w:rPr>
                <w:rFonts w:asciiTheme="minorHAnsi" w:hAnsiTheme="minorHAnsi" w:cstheme="minorHAnsi"/>
                <w:szCs w:val="20"/>
              </w:rPr>
              <w:t>Fines or penalties imposed principally as a disincentive (for something other than withdrawing from all or part of a course) and not to raise revenue or cover administrative costs</w:t>
            </w:r>
          </w:p>
        </w:tc>
        <w:tc>
          <w:tcPr>
            <w:tcW w:w="5103" w:type="dxa"/>
            <w:shd w:val="clear" w:color="auto" w:fill="EEECE1" w:themeFill="background2"/>
          </w:tcPr>
          <w:p w14:paraId="329A9712" w14:textId="77777777" w:rsidR="00983AE6" w:rsidRPr="00721254" w:rsidRDefault="00983AE6" w:rsidP="00A0727A">
            <w:pPr>
              <w:pStyle w:val="ListBullet"/>
              <w:numPr>
                <w:ilvl w:val="0"/>
                <w:numId w:val="7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254">
              <w:rPr>
                <w:rFonts w:asciiTheme="minorHAnsi" w:hAnsiTheme="minorHAnsi" w:cstheme="minorHAnsi"/>
              </w:rPr>
              <w:t>library fines</w:t>
            </w:r>
          </w:p>
        </w:tc>
      </w:tr>
    </w:tbl>
    <w:p w14:paraId="172C387F" w14:textId="77777777" w:rsidR="00983AE6" w:rsidRPr="00736F23" w:rsidRDefault="00983AE6" w:rsidP="00983AE6">
      <w:pPr>
        <w:spacing w:after="0"/>
        <w:rPr>
          <w:rFonts w:cstheme="minorHAnsi"/>
          <w:sz w:val="20"/>
          <w:szCs w:val="20"/>
        </w:rPr>
      </w:pPr>
      <w:r w:rsidRPr="00736F23">
        <w:rPr>
          <w:rFonts w:cstheme="minorHAnsi"/>
          <w:sz w:val="20"/>
          <w:szCs w:val="20"/>
        </w:rPr>
        <w:br w:type="page"/>
      </w:r>
    </w:p>
    <w:p w14:paraId="1680248D" w14:textId="77777777" w:rsidR="00983AE6" w:rsidRPr="00736F23" w:rsidRDefault="00983AE6" w:rsidP="009B6106">
      <w:pPr>
        <w:pStyle w:val="Heading2"/>
      </w:pPr>
      <w:bookmarkStart w:id="4855" w:name="_Appendix_H_-"/>
      <w:bookmarkStart w:id="4856" w:name="_Toc470094580"/>
      <w:bookmarkStart w:id="4857" w:name="_Toc471374637"/>
      <w:bookmarkStart w:id="4858" w:name="_Toc477960078"/>
      <w:bookmarkStart w:id="4859" w:name="_Toc483222967"/>
      <w:bookmarkStart w:id="4860" w:name="_Toc501621279"/>
      <w:bookmarkEnd w:id="4855"/>
      <w:r w:rsidRPr="00736F23">
        <w:lastRenderedPageBreak/>
        <w:t xml:space="preserve">Appendix </w:t>
      </w:r>
      <w:r>
        <w:t>G</w:t>
      </w:r>
      <w:r w:rsidRPr="00736F23">
        <w:t xml:space="preserve"> – Goods and services for which a separate fee must not be charged</w:t>
      </w:r>
      <w:bookmarkEnd w:id="4856"/>
      <w:bookmarkEnd w:id="4857"/>
      <w:bookmarkEnd w:id="4858"/>
      <w:bookmarkEnd w:id="4859"/>
      <w:bookmarkEnd w:id="4860"/>
    </w:p>
    <w:p w14:paraId="4D06E27B" w14:textId="77777777" w:rsidR="00983AE6" w:rsidRPr="00496698" w:rsidRDefault="00983AE6" w:rsidP="00983AE6">
      <w:r w:rsidRPr="00496698">
        <w:t>A provider must not charge separate fees for the following goods and services</w:t>
      </w:r>
      <w:r>
        <w:t>. These goods and services may be covered by VET tuition fees</w:t>
      </w:r>
      <w:r w:rsidRPr="00496698">
        <w:t xml:space="preserve">. These are examples only and do not represent an exhaustive list. </w:t>
      </w:r>
    </w:p>
    <w:tbl>
      <w:tblPr>
        <w:tblStyle w:val="TableGrid"/>
        <w:tblW w:w="5000" w:type="pct"/>
        <w:tblLook w:val="04A0" w:firstRow="1" w:lastRow="0" w:firstColumn="1" w:lastColumn="0" w:noHBand="0" w:noVBand="1"/>
        <w:tblCaption w:val="Goods and services for which a separate fee must not be charged"/>
        <w:tblDescription w:val="Goods and services for which a separate fee must not be charged"/>
      </w:tblPr>
      <w:tblGrid>
        <w:gridCol w:w="4599"/>
        <w:gridCol w:w="4643"/>
      </w:tblGrid>
      <w:tr w:rsidR="00983AE6" w:rsidRPr="005722A4" w14:paraId="45C6137E" w14:textId="77777777" w:rsidTr="002778DA">
        <w:tc>
          <w:tcPr>
            <w:tcW w:w="5000" w:type="pct"/>
            <w:gridSpan w:val="2"/>
            <w:shd w:val="clear" w:color="auto" w:fill="24206B"/>
          </w:tcPr>
          <w:p w14:paraId="1C2B5770" w14:textId="77777777" w:rsidR="00983AE6" w:rsidRPr="00721254" w:rsidRDefault="00983AE6" w:rsidP="00721254">
            <w:pPr>
              <w:pStyle w:val="Tableheading"/>
              <w:rPr>
                <w:rFonts w:cstheme="minorHAnsi"/>
                <w:b w:val="0"/>
                <w:i/>
              </w:rPr>
            </w:pPr>
            <w:r w:rsidRPr="00721254">
              <w:rPr>
                <w:rStyle w:val="Emphasis"/>
                <w:rFonts w:eastAsiaTheme="majorEastAsia"/>
                <w:b w:val="0"/>
                <w:bCs w:val="0"/>
                <w:i w:val="0"/>
                <w:iCs w:val="0"/>
                <w:color w:val="FFFFFF"/>
                <w:spacing w:val="0"/>
              </w:rPr>
              <w:t>Examples</w:t>
            </w:r>
          </w:p>
        </w:tc>
      </w:tr>
      <w:tr w:rsidR="00983AE6" w:rsidRPr="005722A4" w14:paraId="7BBB7078" w14:textId="77777777" w:rsidTr="002778DA">
        <w:tc>
          <w:tcPr>
            <w:tcW w:w="2488" w:type="pct"/>
            <w:shd w:val="clear" w:color="auto" w:fill="FFFFFF" w:themeFill="background1" w:themeFillTint="33"/>
          </w:tcPr>
          <w:p w14:paraId="5AE69E44" w14:textId="77777777" w:rsidR="00983AE6" w:rsidRPr="00721254" w:rsidRDefault="00983AE6" w:rsidP="00983AE6">
            <w:pPr>
              <w:pStyle w:val="Tabletext"/>
              <w:spacing w:before="120" w:after="120"/>
              <w:rPr>
                <w:rFonts w:asciiTheme="minorHAnsi" w:hAnsiTheme="minorHAnsi" w:cstheme="minorHAnsi"/>
                <w:b/>
              </w:rPr>
            </w:pPr>
            <w:r w:rsidRPr="00721254">
              <w:rPr>
                <w:rFonts w:asciiTheme="minorHAnsi" w:hAnsiTheme="minorHAnsi" w:cstheme="minorHAnsi"/>
                <w:b/>
              </w:rPr>
              <w:t xml:space="preserve">course materials, such as subject outlines, reading lists, tutorial or seminar topics and problems, assignment and essay questions and requirements or guidelines for the presentation of work </w:t>
            </w:r>
          </w:p>
        </w:tc>
        <w:tc>
          <w:tcPr>
            <w:tcW w:w="2512" w:type="pct"/>
            <w:shd w:val="clear" w:color="auto" w:fill="EEECE1" w:themeFill="background2"/>
          </w:tcPr>
          <w:p w14:paraId="5C527A35" w14:textId="77777777" w:rsidR="00983AE6" w:rsidRPr="00721254" w:rsidRDefault="00983AE6" w:rsidP="00983AE6">
            <w:pPr>
              <w:pStyle w:val="Tabletext"/>
              <w:spacing w:before="120" w:after="120"/>
              <w:rPr>
                <w:rFonts w:asciiTheme="minorHAnsi" w:hAnsiTheme="minorHAnsi" w:cstheme="minorHAnsi"/>
              </w:rPr>
            </w:pPr>
            <w:r w:rsidRPr="00721254">
              <w:rPr>
                <w:rFonts w:asciiTheme="minorHAnsi" w:hAnsiTheme="minorHAnsi" w:cstheme="minorHAnsi"/>
              </w:rPr>
              <w:t>Equipment and manuals which a professional in the field would not be required to own, such as:</w:t>
            </w:r>
          </w:p>
          <w:p w14:paraId="6327257C" w14:textId="77777777" w:rsidR="00983AE6" w:rsidRPr="00721254" w:rsidRDefault="00983AE6" w:rsidP="00983AE6">
            <w:pPr>
              <w:pStyle w:val="Tabletext"/>
              <w:spacing w:before="120" w:after="120"/>
              <w:rPr>
                <w:rFonts w:asciiTheme="minorHAnsi" w:hAnsiTheme="minorHAnsi" w:cstheme="minorHAnsi"/>
              </w:rPr>
            </w:pPr>
            <w:r w:rsidRPr="00721254">
              <w:rPr>
                <w:rFonts w:asciiTheme="minorHAnsi" w:hAnsiTheme="minorHAnsi" w:cstheme="minorHAnsi"/>
              </w:rPr>
              <w:t xml:space="preserve">fixtures in a clinic, laboratory or workshop </w:t>
            </w:r>
          </w:p>
          <w:p w14:paraId="6FD5E4E7" w14:textId="77777777" w:rsidR="00983AE6" w:rsidRPr="00721254" w:rsidRDefault="00983AE6" w:rsidP="00983AE6">
            <w:pPr>
              <w:pStyle w:val="Tabletext"/>
              <w:spacing w:before="120" w:after="120"/>
              <w:rPr>
                <w:rFonts w:asciiTheme="minorHAnsi" w:hAnsiTheme="minorHAnsi" w:cstheme="minorHAnsi"/>
              </w:rPr>
            </w:pPr>
            <w:r w:rsidRPr="00721254">
              <w:rPr>
                <w:rFonts w:asciiTheme="minorHAnsi" w:hAnsiTheme="minorHAnsi" w:cstheme="minorHAnsi"/>
              </w:rPr>
              <w:t>large items of equipment and relevant workshop guides required for their use</w:t>
            </w:r>
          </w:p>
        </w:tc>
      </w:tr>
      <w:tr w:rsidR="00983AE6" w:rsidRPr="005722A4" w14:paraId="2A672AFC" w14:textId="77777777" w:rsidTr="002778DA">
        <w:tc>
          <w:tcPr>
            <w:tcW w:w="2488" w:type="pct"/>
            <w:shd w:val="clear" w:color="auto" w:fill="FFFFFF" w:themeFill="background1" w:themeFillTint="33"/>
          </w:tcPr>
          <w:p w14:paraId="60D6A3DA" w14:textId="77777777" w:rsidR="00983AE6" w:rsidRPr="00721254" w:rsidRDefault="00983AE6" w:rsidP="00983AE6">
            <w:pPr>
              <w:pStyle w:val="Tabletext"/>
              <w:spacing w:before="120" w:after="120"/>
              <w:rPr>
                <w:rFonts w:asciiTheme="minorHAnsi" w:hAnsiTheme="minorHAnsi" w:cstheme="minorHAnsi"/>
                <w:b/>
              </w:rPr>
            </w:pPr>
            <w:r w:rsidRPr="00721254">
              <w:rPr>
                <w:rFonts w:asciiTheme="minorHAnsi" w:hAnsiTheme="minorHAnsi" w:cstheme="minorHAnsi"/>
                <w:b/>
              </w:rPr>
              <w:t>Access to library books, periodicals and guides</w:t>
            </w:r>
          </w:p>
          <w:p w14:paraId="2558D091" w14:textId="77777777" w:rsidR="00983AE6" w:rsidRPr="00721254" w:rsidRDefault="00983AE6" w:rsidP="00983AE6">
            <w:pPr>
              <w:pStyle w:val="Tabletext"/>
              <w:spacing w:before="120" w:after="120"/>
              <w:rPr>
                <w:rFonts w:asciiTheme="minorHAnsi" w:hAnsiTheme="minorHAnsi" w:cstheme="minorHAnsi"/>
              </w:rPr>
            </w:pPr>
          </w:p>
        </w:tc>
        <w:tc>
          <w:tcPr>
            <w:tcW w:w="2512" w:type="pct"/>
            <w:shd w:val="clear" w:color="auto" w:fill="EEECE1" w:themeFill="background2"/>
          </w:tcPr>
          <w:p w14:paraId="5B461381" w14:textId="77777777" w:rsidR="00983AE6" w:rsidRPr="00721254" w:rsidRDefault="00983AE6" w:rsidP="00983AE6">
            <w:pPr>
              <w:pStyle w:val="Tabletext"/>
              <w:spacing w:before="120" w:after="120"/>
              <w:rPr>
                <w:rFonts w:asciiTheme="minorHAnsi" w:hAnsiTheme="minorHAnsi" w:cstheme="minorHAnsi"/>
              </w:rPr>
            </w:pPr>
            <w:r w:rsidRPr="00721254">
              <w:rPr>
                <w:rFonts w:asciiTheme="minorHAnsi" w:hAnsiTheme="minorHAnsi" w:cstheme="minorHAnsi"/>
              </w:rPr>
              <w:t>Examinations or assessments, including practical assessment, for example, which requires the services of musical accompanists</w:t>
            </w:r>
          </w:p>
        </w:tc>
      </w:tr>
      <w:tr w:rsidR="00983AE6" w:rsidRPr="005722A4" w14:paraId="03275F73" w14:textId="77777777" w:rsidTr="002778DA">
        <w:tc>
          <w:tcPr>
            <w:tcW w:w="2488" w:type="pct"/>
            <w:shd w:val="clear" w:color="auto" w:fill="FFFFFF" w:themeFill="background1" w:themeFillTint="33"/>
          </w:tcPr>
          <w:p w14:paraId="52E8C755" w14:textId="77777777" w:rsidR="00983AE6" w:rsidRPr="00721254" w:rsidRDefault="00983AE6" w:rsidP="00983AE6">
            <w:pPr>
              <w:pStyle w:val="Tabletext"/>
              <w:spacing w:before="120" w:after="120"/>
              <w:rPr>
                <w:rFonts w:asciiTheme="minorHAnsi" w:hAnsiTheme="minorHAnsi" w:cstheme="minorHAnsi"/>
                <w:b/>
              </w:rPr>
            </w:pPr>
            <w:r w:rsidRPr="00721254">
              <w:rPr>
                <w:rFonts w:asciiTheme="minorHAnsi" w:hAnsiTheme="minorHAnsi" w:cstheme="minorHAnsi"/>
                <w:b/>
              </w:rPr>
              <w:t>Clinic, laboratory or workshop materials such as anaesthetics, chemicals, filters, fuel, fertilisers, animal feed or crops used in practical sessions or research</w:t>
            </w:r>
          </w:p>
          <w:p w14:paraId="4733F426" w14:textId="77777777" w:rsidR="00983AE6" w:rsidRPr="00721254" w:rsidRDefault="00983AE6" w:rsidP="00983AE6">
            <w:pPr>
              <w:pStyle w:val="Tabletext"/>
              <w:spacing w:before="120" w:after="120"/>
              <w:rPr>
                <w:rFonts w:asciiTheme="minorHAnsi" w:hAnsiTheme="minorHAnsi" w:cstheme="minorHAnsi"/>
              </w:rPr>
            </w:pPr>
          </w:p>
        </w:tc>
        <w:tc>
          <w:tcPr>
            <w:tcW w:w="2512" w:type="pct"/>
            <w:shd w:val="clear" w:color="auto" w:fill="EEECE1" w:themeFill="background2"/>
          </w:tcPr>
          <w:p w14:paraId="2F2A41B4" w14:textId="77777777" w:rsidR="00983AE6" w:rsidRPr="00721254" w:rsidRDefault="00983AE6" w:rsidP="00983AE6">
            <w:pPr>
              <w:pStyle w:val="Tabletext"/>
              <w:spacing w:before="120" w:after="120"/>
              <w:rPr>
                <w:rFonts w:asciiTheme="minorHAnsi" w:hAnsiTheme="minorHAnsi" w:cstheme="minorHAnsi"/>
              </w:rPr>
            </w:pPr>
            <w:r w:rsidRPr="00721254">
              <w:rPr>
                <w:rFonts w:asciiTheme="minorHAnsi" w:hAnsiTheme="minorHAnsi" w:cstheme="minorHAnsi"/>
              </w:rPr>
              <w:t xml:space="preserve">Re-assessment of results (as part of the provider’s assessment quality assurance procedures) where a student has failed an assessment and thereby failed a subject or VET unit of study. This does not include where reassessment occurs through the student re-enrolling in the subject or VET unit of study after failing it </w:t>
            </w:r>
          </w:p>
        </w:tc>
      </w:tr>
      <w:tr w:rsidR="00983AE6" w:rsidRPr="005722A4" w14:paraId="7544B181" w14:textId="77777777" w:rsidTr="002778DA">
        <w:tc>
          <w:tcPr>
            <w:tcW w:w="2488" w:type="pct"/>
            <w:shd w:val="clear" w:color="auto" w:fill="FFFFFF" w:themeFill="background1" w:themeFillTint="33"/>
          </w:tcPr>
          <w:p w14:paraId="18857614" w14:textId="77777777" w:rsidR="00983AE6" w:rsidRPr="00721254" w:rsidRDefault="00983AE6" w:rsidP="00983AE6">
            <w:pPr>
              <w:pStyle w:val="Tabletext"/>
              <w:spacing w:before="120" w:after="120"/>
              <w:rPr>
                <w:rFonts w:asciiTheme="minorHAnsi" w:hAnsiTheme="minorHAnsi" w:cstheme="minorHAnsi"/>
                <w:b/>
              </w:rPr>
            </w:pPr>
            <w:r w:rsidRPr="00721254">
              <w:rPr>
                <w:rFonts w:asciiTheme="minorHAnsi" w:hAnsiTheme="minorHAnsi" w:cstheme="minorHAnsi"/>
                <w:b/>
              </w:rPr>
              <w:t>Access to computers or other online resources</w:t>
            </w:r>
          </w:p>
          <w:p w14:paraId="530F92B1" w14:textId="77777777" w:rsidR="00983AE6" w:rsidRPr="00721254" w:rsidRDefault="00983AE6" w:rsidP="00983AE6">
            <w:pPr>
              <w:pStyle w:val="Tabletext"/>
              <w:spacing w:before="120" w:after="120"/>
              <w:rPr>
                <w:rFonts w:asciiTheme="minorHAnsi" w:hAnsiTheme="minorHAnsi" w:cstheme="minorHAnsi"/>
              </w:rPr>
            </w:pPr>
          </w:p>
        </w:tc>
        <w:tc>
          <w:tcPr>
            <w:tcW w:w="2512" w:type="pct"/>
            <w:shd w:val="clear" w:color="auto" w:fill="EEECE1" w:themeFill="background2"/>
          </w:tcPr>
          <w:p w14:paraId="177B6E57" w14:textId="77777777" w:rsidR="00983AE6" w:rsidRPr="00721254" w:rsidRDefault="00983AE6" w:rsidP="00983AE6">
            <w:pPr>
              <w:pStyle w:val="Tabletext"/>
              <w:spacing w:before="120" w:after="120"/>
              <w:rPr>
                <w:rFonts w:asciiTheme="minorHAnsi" w:hAnsiTheme="minorHAnsi" w:cstheme="minorHAnsi"/>
              </w:rPr>
            </w:pPr>
            <w:r w:rsidRPr="00721254">
              <w:rPr>
                <w:rFonts w:asciiTheme="minorHAnsi" w:hAnsiTheme="minorHAnsi" w:cstheme="minorHAnsi"/>
              </w:rPr>
              <w:t xml:space="preserve">Mailing charges associated with distance education </w:t>
            </w:r>
          </w:p>
        </w:tc>
      </w:tr>
      <w:tr w:rsidR="00983AE6" w:rsidRPr="005722A4" w14:paraId="1D7C6EA0" w14:textId="77777777" w:rsidTr="002778DA">
        <w:tc>
          <w:tcPr>
            <w:tcW w:w="2488" w:type="pct"/>
            <w:shd w:val="clear" w:color="auto" w:fill="FFFFFF" w:themeFill="background1" w:themeFillTint="33"/>
          </w:tcPr>
          <w:p w14:paraId="675AA104" w14:textId="77777777" w:rsidR="00983AE6" w:rsidRPr="00721254" w:rsidRDefault="00983AE6" w:rsidP="00983AE6">
            <w:pPr>
              <w:pStyle w:val="Tabletext"/>
              <w:spacing w:before="120" w:after="120"/>
              <w:rPr>
                <w:rFonts w:asciiTheme="minorHAnsi" w:hAnsiTheme="minorHAnsi" w:cstheme="minorHAnsi"/>
                <w:b/>
              </w:rPr>
            </w:pPr>
            <w:r w:rsidRPr="00721254">
              <w:rPr>
                <w:rFonts w:asciiTheme="minorHAnsi" w:hAnsiTheme="minorHAnsi" w:cstheme="minorHAnsi"/>
                <w:b/>
              </w:rPr>
              <w:t>Application or enrolment fees for enrolment or enrolling in an approved course</w:t>
            </w:r>
          </w:p>
        </w:tc>
        <w:tc>
          <w:tcPr>
            <w:tcW w:w="2512" w:type="pct"/>
            <w:shd w:val="clear" w:color="auto" w:fill="EEECE1" w:themeFill="background2"/>
          </w:tcPr>
          <w:p w14:paraId="1ADFF9BC" w14:textId="77777777" w:rsidR="00983AE6" w:rsidRPr="00721254" w:rsidRDefault="00983AE6" w:rsidP="00983AE6">
            <w:pPr>
              <w:pStyle w:val="Tabletext"/>
              <w:spacing w:before="120" w:after="120"/>
              <w:rPr>
                <w:rFonts w:asciiTheme="minorHAnsi" w:hAnsiTheme="minorHAnsi" w:cstheme="minorHAnsi"/>
              </w:rPr>
            </w:pPr>
            <w:r w:rsidRPr="00721254">
              <w:rPr>
                <w:rFonts w:asciiTheme="minorHAnsi" w:hAnsiTheme="minorHAnsi" w:cstheme="minorHAnsi"/>
              </w:rPr>
              <w:t>Course notes provided as part of distance education</w:t>
            </w:r>
          </w:p>
        </w:tc>
      </w:tr>
      <w:tr w:rsidR="00983AE6" w:rsidRPr="005722A4" w14:paraId="01A7FE9E" w14:textId="77777777" w:rsidTr="002778DA">
        <w:tc>
          <w:tcPr>
            <w:tcW w:w="5000" w:type="pct"/>
            <w:gridSpan w:val="2"/>
            <w:shd w:val="clear" w:color="auto" w:fill="FFFFFF" w:themeFill="background1" w:themeFillTint="33"/>
          </w:tcPr>
          <w:p w14:paraId="49ACB4FC" w14:textId="77777777" w:rsidR="00983AE6" w:rsidRPr="00721254" w:rsidRDefault="00983AE6" w:rsidP="00983AE6">
            <w:pPr>
              <w:pStyle w:val="Tabletext"/>
              <w:spacing w:before="120" w:after="120"/>
              <w:rPr>
                <w:rFonts w:asciiTheme="minorHAnsi" w:hAnsiTheme="minorHAnsi" w:cstheme="minorHAnsi"/>
              </w:rPr>
            </w:pPr>
            <w:r w:rsidRPr="00721254">
              <w:rPr>
                <w:rFonts w:asciiTheme="minorHAnsi" w:hAnsiTheme="minorHAnsi" w:cstheme="minorHAnsi"/>
              </w:rPr>
              <w:t>Assessment fees for determining whether a student is academically suited to undertake a course</w:t>
            </w:r>
          </w:p>
        </w:tc>
      </w:tr>
    </w:tbl>
    <w:p w14:paraId="24DFA96C" w14:textId="77777777" w:rsidR="00983AE6" w:rsidRPr="00736F23" w:rsidRDefault="00983AE6" w:rsidP="00983AE6">
      <w:pPr>
        <w:spacing w:after="0"/>
        <w:rPr>
          <w:rFonts w:cstheme="minorHAnsi"/>
          <w:b/>
          <w:iCs/>
          <w:color w:val="0070C0"/>
        </w:rPr>
        <w:sectPr w:rsidR="00983AE6" w:rsidRPr="00736F23" w:rsidSect="005F300B">
          <w:footerReference w:type="default" r:id="rId133"/>
          <w:footerReference w:type="first" r:id="rId134"/>
          <w:pgSz w:w="11906" w:h="16838" w:code="9"/>
          <w:pgMar w:top="1440" w:right="1440" w:bottom="1276" w:left="1440" w:header="567" w:footer="567" w:gutter="0"/>
          <w:cols w:space="708"/>
          <w:titlePg/>
          <w:docGrid w:linePitch="360"/>
        </w:sectPr>
      </w:pPr>
      <w:bookmarkStart w:id="4861" w:name="_Toc469393526"/>
      <w:bookmarkEnd w:id="4861"/>
    </w:p>
    <w:p w14:paraId="33736CA7" w14:textId="201BA426" w:rsidR="00607DD4" w:rsidRDefault="00983AE6" w:rsidP="00721254">
      <w:pPr>
        <w:pStyle w:val="Heading2"/>
      </w:pPr>
      <w:bookmarkStart w:id="4862" w:name="_Appendix_I_-"/>
      <w:bookmarkStart w:id="4863" w:name="_Appendix_H_–"/>
      <w:bookmarkStart w:id="4864" w:name="_Toc477960079"/>
      <w:bookmarkStart w:id="4865" w:name="_Toc483222968"/>
      <w:bookmarkStart w:id="4866" w:name="_Toc501621280"/>
      <w:bookmarkEnd w:id="4862"/>
      <w:bookmarkEnd w:id="4863"/>
      <w:r w:rsidRPr="00736F23">
        <w:lastRenderedPageBreak/>
        <w:t xml:space="preserve">Appendix </w:t>
      </w:r>
      <w:r>
        <w:t>H</w:t>
      </w:r>
      <w:r w:rsidRPr="00736F23">
        <w:t xml:space="preserve"> – Reporting and Payment Schedule 2017</w:t>
      </w:r>
      <w:bookmarkEnd w:id="4864"/>
      <w:bookmarkEnd w:id="4865"/>
      <w:bookmarkEnd w:id="4866"/>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994"/>
        <w:gridCol w:w="1074"/>
        <w:gridCol w:w="1074"/>
        <w:gridCol w:w="1077"/>
        <w:gridCol w:w="1074"/>
        <w:gridCol w:w="1077"/>
        <w:gridCol w:w="1074"/>
        <w:gridCol w:w="1077"/>
        <w:gridCol w:w="1074"/>
        <w:gridCol w:w="1077"/>
        <w:gridCol w:w="1074"/>
        <w:gridCol w:w="1077"/>
      </w:tblGrid>
      <w:tr w:rsidR="00983AE6" w:rsidRPr="00736F23" w14:paraId="22735038" w14:textId="77777777" w:rsidTr="005F300B">
        <w:trPr>
          <w:trHeight w:val="315"/>
        </w:trPr>
        <w:tc>
          <w:tcPr>
            <w:tcW w:w="487" w:type="pct"/>
            <w:shd w:val="clear" w:color="auto" w:fill="24206B"/>
            <w:noWrap/>
            <w:vAlign w:val="center"/>
            <w:hideMark/>
          </w:tcPr>
          <w:p w14:paraId="6E1C0E88" w14:textId="77777777" w:rsidR="00983AE6" w:rsidRPr="00736F23" w:rsidRDefault="00983AE6" w:rsidP="00983AE6">
            <w:pPr>
              <w:pStyle w:val="Tabletext"/>
              <w:spacing w:before="120" w:after="120"/>
              <w:rPr>
                <w:noProof/>
              </w:rPr>
            </w:pPr>
            <w:r w:rsidRPr="00736F23">
              <w:rPr>
                <w:noProof/>
              </w:rPr>
              <w:t>Payments Per Year</w:t>
            </w:r>
          </w:p>
        </w:tc>
        <w:tc>
          <w:tcPr>
            <w:tcW w:w="350" w:type="pct"/>
            <w:shd w:val="clear" w:color="auto" w:fill="FFFFFF" w:themeFill="background1" w:themeFillTint="33"/>
            <w:noWrap/>
            <w:vAlign w:val="center"/>
            <w:hideMark/>
          </w:tcPr>
          <w:p w14:paraId="45666105" w14:textId="77777777" w:rsidR="00983AE6" w:rsidRPr="00736F23" w:rsidRDefault="00983AE6" w:rsidP="00983AE6">
            <w:pPr>
              <w:pStyle w:val="Tabletext"/>
              <w:spacing w:before="120" w:after="120"/>
              <w:rPr>
                <w:noProof/>
              </w:rPr>
            </w:pPr>
            <w:r w:rsidRPr="00736F23">
              <w:rPr>
                <w:noProof/>
              </w:rPr>
              <w:t>1</w:t>
            </w:r>
            <w:r w:rsidRPr="00736F23">
              <w:rPr>
                <w:noProof/>
                <w:vertAlign w:val="superscript"/>
              </w:rPr>
              <w:t>st</w:t>
            </w:r>
            <w:r w:rsidRPr="00736F23">
              <w:rPr>
                <w:noProof/>
              </w:rPr>
              <w:t xml:space="preserve"> </w:t>
            </w:r>
          </w:p>
        </w:tc>
        <w:tc>
          <w:tcPr>
            <w:tcW w:w="378" w:type="pct"/>
            <w:shd w:val="clear" w:color="auto" w:fill="FFFFFF" w:themeFill="background1" w:themeFillTint="33"/>
            <w:noWrap/>
            <w:vAlign w:val="center"/>
            <w:hideMark/>
          </w:tcPr>
          <w:p w14:paraId="03A4C460" w14:textId="77777777" w:rsidR="00983AE6" w:rsidRPr="00736F23" w:rsidRDefault="00983AE6" w:rsidP="00983AE6">
            <w:pPr>
              <w:pStyle w:val="Tabletext"/>
              <w:spacing w:before="120" w:after="120"/>
              <w:rPr>
                <w:noProof/>
              </w:rPr>
            </w:pPr>
            <w:r w:rsidRPr="00736F23">
              <w:rPr>
                <w:noProof/>
              </w:rPr>
              <w:t>2</w:t>
            </w:r>
            <w:r w:rsidRPr="00736F23">
              <w:rPr>
                <w:noProof/>
                <w:vertAlign w:val="superscript"/>
              </w:rPr>
              <w:t>nd</w:t>
            </w:r>
            <w:r w:rsidRPr="00736F23">
              <w:rPr>
                <w:noProof/>
              </w:rPr>
              <w:t xml:space="preserve"> </w:t>
            </w:r>
          </w:p>
        </w:tc>
        <w:tc>
          <w:tcPr>
            <w:tcW w:w="378" w:type="pct"/>
            <w:shd w:val="clear" w:color="auto" w:fill="FFFFFF" w:themeFill="background1" w:themeFillTint="33"/>
            <w:noWrap/>
            <w:vAlign w:val="center"/>
            <w:hideMark/>
          </w:tcPr>
          <w:p w14:paraId="630E5C42" w14:textId="77777777" w:rsidR="00983AE6" w:rsidRPr="00736F23" w:rsidRDefault="00983AE6" w:rsidP="00983AE6">
            <w:pPr>
              <w:pStyle w:val="Tabletext"/>
              <w:spacing w:before="120" w:after="120"/>
              <w:rPr>
                <w:noProof/>
              </w:rPr>
            </w:pPr>
            <w:r w:rsidRPr="00736F23">
              <w:rPr>
                <w:noProof/>
              </w:rPr>
              <w:t>3</w:t>
            </w:r>
            <w:r w:rsidRPr="00736F23">
              <w:rPr>
                <w:noProof/>
                <w:vertAlign w:val="superscript"/>
              </w:rPr>
              <w:t>rd</w:t>
            </w:r>
            <w:r w:rsidRPr="00736F23">
              <w:rPr>
                <w:noProof/>
              </w:rPr>
              <w:t xml:space="preserve"> </w:t>
            </w:r>
          </w:p>
        </w:tc>
        <w:tc>
          <w:tcPr>
            <w:tcW w:w="379" w:type="pct"/>
            <w:shd w:val="clear" w:color="auto" w:fill="FFFFFF" w:themeFill="background1" w:themeFillTint="33"/>
            <w:noWrap/>
            <w:vAlign w:val="center"/>
            <w:hideMark/>
          </w:tcPr>
          <w:p w14:paraId="38F63176" w14:textId="77777777" w:rsidR="00983AE6" w:rsidRPr="00736F23" w:rsidRDefault="00983AE6" w:rsidP="00983AE6">
            <w:pPr>
              <w:pStyle w:val="Tabletext"/>
              <w:spacing w:before="120" w:after="120"/>
              <w:rPr>
                <w:noProof/>
              </w:rPr>
            </w:pPr>
            <w:r w:rsidRPr="00736F23">
              <w:rPr>
                <w:noProof/>
              </w:rPr>
              <w:t>4</w:t>
            </w:r>
            <w:r w:rsidRPr="00736F23">
              <w:rPr>
                <w:noProof/>
                <w:vertAlign w:val="superscript"/>
              </w:rPr>
              <w:t>th</w:t>
            </w:r>
            <w:r w:rsidRPr="00736F23">
              <w:rPr>
                <w:noProof/>
              </w:rPr>
              <w:t xml:space="preserve"> </w:t>
            </w:r>
          </w:p>
        </w:tc>
        <w:tc>
          <w:tcPr>
            <w:tcW w:w="378" w:type="pct"/>
            <w:shd w:val="clear" w:color="auto" w:fill="FFFFFF" w:themeFill="background1" w:themeFillTint="33"/>
            <w:noWrap/>
            <w:vAlign w:val="center"/>
            <w:hideMark/>
          </w:tcPr>
          <w:p w14:paraId="57D43B68" w14:textId="77777777" w:rsidR="00983AE6" w:rsidRPr="00736F23" w:rsidRDefault="00983AE6" w:rsidP="00983AE6">
            <w:pPr>
              <w:pStyle w:val="Tabletext"/>
              <w:spacing w:before="120" w:after="120"/>
              <w:rPr>
                <w:noProof/>
              </w:rPr>
            </w:pPr>
            <w:r w:rsidRPr="00736F23">
              <w:rPr>
                <w:noProof/>
              </w:rPr>
              <w:t>5</w:t>
            </w:r>
            <w:r w:rsidRPr="00736F23">
              <w:rPr>
                <w:noProof/>
                <w:vertAlign w:val="superscript"/>
              </w:rPr>
              <w:t>th</w:t>
            </w:r>
            <w:r w:rsidRPr="00736F23">
              <w:rPr>
                <w:noProof/>
              </w:rPr>
              <w:t xml:space="preserve"> </w:t>
            </w:r>
          </w:p>
        </w:tc>
        <w:tc>
          <w:tcPr>
            <w:tcW w:w="379" w:type="pct"/>
            <w:shd w:val="clear" w:color="auto" w:fill="FFFFFF" w:themeFill="background1" w:themeFillTint="33"/>
            <w:noWrap/>
            <w:vAlign w:val="center"/>
            <w:hideMark/>
          </w:tcPr>
          <w:p w14:paraId="03F7DFD3" w14:textId="77777777" w:rsidR="00983AE6" w:rsidRPr="00736F23" w:rsidRDefault="00983AE6" w:rsidP="00983AE6">
            <w:pPr>
              <w:pStyle w:val="Tabletext"/>
              <w:spacing w:before="120" w:after="120"/>
              <w:rPr>
                <w:noProof/>
              </w:rPr>
            </w:pPr>
            <w:r w:rsidRPr="00736F23">
              <w:rPr>
                <w:noProof/>
              </w:rPr>
              <w:t>6</w:t>
            </w:r>
            <w:r w:rsidRPr="00736F23">
              <w:rPr>
                <w:noProof/>
                <w:vertAlign w:val="superscript"/>
              </w:rPr>
              <w:t>th</w:t>
            </w:r>
            <w:r w:rsidRPr="00736F23">
              <w:rPr>
                <w:noProof/>
              </w:rPr>
              <w:t xml:space="preserve"> </w:t>
            </w:r>
          </w:p>
        </w:tc>
        <w:tc>
          <w:tcPr>
            <w:tcW w:w="378" w:type="pct"/>
            <w:shd w:val="clear" w:color="auto" w:fill="FFFFFF" w:themeFill="background1" w:themeFillTint="33"/>
            <w:noWrap/>
            <w:vAlign w:val="center"/>
            <w:hideMark/>
          </w:tcPr>
          <w:p w14:paraId="5752495D" w14:textId="77777777" w:rsidR="00983AE6" w:rsidRPr="00736F23" w:rsidRDefault="00983AE6" w:rsidP="00983AE6">
            <w:pPr>
              <w:pStyle w:val="Tabletext"/>
              <w:spacing w:before="120" w:after="120"/>
              <w:rPr>
                <w:noProof/>
              </w:rPr>
            </w:pPr>
            <w:r w:rsidRPr="00736F23">
              <w:rPr>
                <w:noProof/>
              </w:rPr>
              <w:t>7</w:t>
            </w:r>
            <w:r w:rsidRPr="00736F23">
              <w:rPr>
                <w:noProof/>
                <w:vertAlign w:val="superscript"/>
              </w:rPr>
              <w:t>th</w:t>
            </w:r>
            <w:r w:rsidRPr="00736F23">
              <w:rPr>
                <w:noProof/>
              </w:rPr>
              <w:t xml:space="preserve"> </w:t>
            </w:r>
          </w:p>
        </w:tc>
        <w:tc>
          <w:tcPr>
            <w:tcW w:w="379" w:type="pct"/>
            <w:shd w:val="clear" w:color="auto" w:fill="FFFFFF" w:themeFill="background1" w:themeFillTint="33"/>
            <w:noWrap/>
            <w:vAlign w:val="center"/>
            <w:hideMark/>
          </w:tcPr>
          <w:p w14:paraId="0AD558F8" w14:textId="77777777" w:rsidR="00983AE6" w:rsidRPr="00736F23" w:rsidRDefault="00983AE6" w:rsidP="00983AE6">
            <w:pPr>
              <w:pStyle w:val="Tabletext"/>
              <w:spacing w:before="120" w:after="120"/>
              <w:rPr>
                <w:noProof/>
              </w:rPr>
            </w:pPr>
            <w:r w:rsidRPr="00736F23">
              <w:rPr>
                <w:noProof/>
              </w:rPr>
              <w:t>8</w:t>
            </w:r>
            <w:r w:rsidRPr="00736F23">
              <w:rPr>
                <w:noProof/>
                <w:vertAlign w:val="superscript"/>
              </w:rPr>
              <w:t>th</w:t>
            </w:r>
            <w:r w:rsidRPr="00736F23">
              <w:rPr>
                <w:noProof/>
              </w:rPr>
              <w:t xml:space="preserve"> </w:t>
            </w:r>
          </w:p>
        </w:tc>
        <w:tc>
          <w:tcPr>
            <w:tcW w:w="378" w:type="pct"/>
            <w:shd w:val="clear" w:color="auto" w:fill="FFFFFF" w:themeFill="background1" w:themeFillTint="33"/>
            <w:noWrap/>
            <w:vAlign w:val="center"/>
            <w:hideMark/>
          </w:tcPr>
          <w:p w14:paraId="35C2CFF3" w14:textId="77777777" w:rsidR="00983AE6" w:rsidRPr="00736F23" w:rsidRDefault="00983AE6" w:rsidP="00983AE6">
            <w:pPr>
              <w:pStyle w:val="Tabletext"/>
              <w:spacing w:before="120" w:after="120"/>
              <w:rPr>
                <w:noProof/>
              </w:rPr>
            </w:pPr>
            <w:r w:rsidRPr="00736F23">
              <w:rPr>
                <w:noProof/>
              </w:rPr>
              <w:t>9</w:t>
            </w:r>
            <w:r w:rsidRPr="00736F23">
              <w:rPr>
                <w:noProof/>
                <w:vertAlign w:val="superscript"/>
              </w:rPr>
              <w:t>th</w:t>
            </w:r>
            <w:r w:rsidRPr="00736F23">
              <w:rPr>
                <w:noProof/>
              </w:rPr>
              <w:t xml:space="preserve"> </w:t>
            </w:r>
          </w:p>
        </w:tc>
        <w:tc>
          <w:tcPr>
            <w:tcW w:w="379" w:type="pct"/>
            <w:shd w:val="clear" w:color="auto" w:fill="FFFFFF" w:themeFill="background1" w:themeFillTint="33"/>
            <w:noWrap/>
            <w:vAlign w:val="center"/>
            <w:hideMark/>
          </w:tcPr>
          <w:p w14:paraId="0DB07D6A" w14:textId="77777777" w:rsidR="00983AE6" w:rsidRPr="00736F23" w:rsidRDefault="00983AE6" w:rsidP="00983AE6">
            <w:pPr>
              <w:pStyle w:val="Tabletext"/>
              <w:spacing w:before="120" w:after="120"/>
              <w:rPr>
                <w:noProof/>
              </w:rPr>
            </w:pPr>
            <w:r w:rsidRPr="00736F23">
              <w:rPr>
                <w:noProof/>
              </w:rPr>
              <w:t>10</w:t>
            </w:r>
            <w:r w:rsidRPr="00736F23">
              <w:rPr>
                <w:noProof/>
                <w:vertAlign w:val="superscript"/>
              </w:rPr>
              <w:t>th</w:t>
            </w:r>
            <w:r w:rsidRPr="00736F23">
              <w:rPr>
                <w:noProof/>
              </w:rPr>
              <w:t xml:space="preserve"> </w:t>
            </w:r>
          </w:p>
        </w:tc>
        <w:tc>
          <w:tcPr>
            <w:tcW w:w="378" w:type="pct"/>
            <w:shd w:val="clear" w:color="auto" w:fill="FFFFFF" w:themeFill="background1" w:themeFillTint="33"/>
            <w:noWrap/>
            <w:vAlign w:val="center"/>
            <w:hideMark/>
          </w:tcPr>
          <w:p w14:paraId="46C800B5" w14:textId="77777777" w:rsidR="00983AE6" w:rsidRPr="00736F23" w:rsidRDefault="00983AE6" w:rsidP="00983AE6">
            <w:pPr>
              <w:pStyle w:val="Tabletext"/>
              <w:spacing w:before="120" w:after="120"/>
              <w:rPr>
                <w:noProof/>
              </w:rPr>
            </w:pPr>
            <w:r w:rsidRPr="00736F23">
              <w:rPr>
                <w:noProof/>
              </w:rPr>
              <w:t>11</w:t>
            </w:r>
            <w:r w:rsidRPr="00736F23">
              <w:rPr>
                <w:noProof/>
                <w:vertAlign w:val="superscript"/>
              </w:rPr>
              <w:t>th</w:t>
            </w:r>
            <w:r w:rsidRPr="00736F23">
              <w:rPr>
                <w:noProof/>
              </w:rPr>
              <w:t xml:space="preserve"> </w:t>
            </w:r>
          </w:p>
        </w:tc>
        <w:tc>
          <w:tcPr>
            <w:tcW w:w="379" w:type="pct"/>
            <w:shd w:val="clear" w:color="auto" w:fill="FFFFFF" w:themeFill="background1" w:themeFillTint="33"/>
            <w:noWrap/>
            <w:vAlign w:val="center"/>
            <w:hideMark/>
          </w:tcPr>
          <w:p w14:paraId="01CFF840" w14:textId="77777777" w:rsidR="00983AE6" w:rsidRPr="00736F23" w:rsidRDefault="00983AE6" w:rsidP="00983AE6">
            <w:pPr>
              <w:pStyle w:val="Tabletext"/>
              <w:spacing w:before="120" w:after="120"/>
              <w:rPr>
                <w:noProof/>
              </w:rPr>
            </w:pPr>
            <w:r w:rsidRPr="00736F23">
              <w:rPr>
                <w:noProof/>
              </w:rPr>
              <w:t>12</w:t>
            </w:r>
            <w:r w:rsidRPr="00736F23">
              <w:rPr>
                <w:noProof/>
                <w:vertAlign w:val="superscript"/>
              </w:rPr>
              <w:t>th</w:t>
            </w:r>
            <w:r w:rsidRPr="00736F23">
              <w:rPr>
                <w:noProof/>
              </w:rPr>
              <w:t xml:space="preserve"> </w:t>
            </w:r>
          </w:p>
        </w:tc>
      </w:tr>
      <w:tr w:rsidR="00983AE6" w:rsidRPr="00736F23" w14:paraId="19E87464" w14:textId="77777777" w:rsidTr="005F300B">
        <w:trPr>
          <w:trHeight w:val="315"/>
        </w:trPr>
        <w:tc>
          <w:tcPr>
            <w:tcW w:w="487" w:type="pct"/>
            <w:shd w:val="clear" w:color="auto" w:fill="24206B"/>
            <w:noWrap/>
            <w:vAlign w:val="center"/>
          </w:tcPr>
          <w:p w14:paraId="3CD94B30" w14:textId="77777777" w:rsidR="00983AE6" w:rsidRPr="00736F23" w:rsidRDefault="00983AE6" w:rsidP="00983AE6">
            <w:pPr>
              <w:pStyle w:val="Tabletext"/>
              <w:spacing w:before="120" w:after="120"/>
              <w:rPr>
                <w:noProof/>
              </w:rPr>
            </w:pPr>
            <w:r w:rsidRPr="00736F23">
              <w:rPr>
                <w:noProof/>
              </w:rPr>
              <w:t>Census  Da</w:t>
            </w:r>
            <w:r>
              <w:rPr>
                <w:noProof/>
              </w:rPr>
              <w:t>ys to</w:t>
            </w:r>
          </w:p>
        </w:tc>
        <w:tc>
          <w:tcPr>
            <w:tcW w:w="350" w:type="pct"/>
            <w:shd w:val="clear" w:color="auto" w:fill="00ADEF"/>
            <w:noWrap/>
            <w:vAlign w:val="center"/>
          </w:tcPr>
          <w:p w14:paraId="77264EEB" w14:textId="77777777" w:rsidR="00983AE6" w:rsidRPr="00736F23" w:rsidRDefault="00983AE6" w:rsidP="00983AE6">
            <w:pPr>
              <w:pStyle w:val="Tabletext"/>
              <w:spacing w:before="120" w:after="120"/>
              <w:rPr>
                <w:noProof/>
              </w:rPr>
            </w:pPr>
            <w:r w:rsidRPr="00736F23">
              <w:rPr>
                <w:noProof/>
              </w:rPr>
              <w:t>31 Jan</w:t>
            </w:r>
          </w:p>
        </w:tc>
        <w:tc>
          <w:tcPr>
            <w:tcW w:w="378" w:type="pct"/>
            <w:shd w:val="clear" w:color="auto" w:fill="00ADEF"/>
            <w:noWrap/>
            <w:vAlign w:val="center"/>
          </w:tcPr>
          <w:p w14:paraId="13AE8F73" w14:textId="77777777" w:rsidR="00983AE6" w:rsidRPr="00736F23" w:rsidRDefault="00983AE6" w:rsidP="00983AE6">
            <w:pPr>
              <w:pStyle w:val="Tabletext"/>
              <w:spacing w:before="120" w:after="120"/>
              <w:rPr>
                <w:noProof/>
              </w:rPr>
            </w:pPr>
            <w:r w:rsidRPr="00736F23">
              <w:rPr>
                <w:noProof/>
              </w:rPr>
              <w:t>28 Feb</w:t>
            </w:r>
          </w:p>
        </w:tc>
        <w:tc>
          <w:tcPr>
            <w:tcW w:w="378" w:type="pct"/>
            <w:shd w:val="clear" w:color="auto" w:fill="00ADEF"/>
            <w:noWrap/>
            <w:vAlign w:val="center"/>
          </w:tcPr>
          <w:p w14:paraId="2AC1EED8" w14:textId="77777777" w:rsidR="00983AE6" w:rsidRPr="00736F23" w:rsidRDefault="00983AE6" w:rsidP="00983AE6">
            <w:pPr>
              <w:pStyle w:val="Tabletext"/>
              <w:spacing w:before="120" w:after="120"/>
              <w:rPr>
                <w:noProof/>
              </w:rPr>
            </w:pPr>
            <w:r w:rsidRPr="00736F23">
              <w:rPr>
                <w:noProof/>
              </w:rPr>
              <w:t>31 Mar</w:t>
            </w:r>
          </w:p>
        </w:tc>
        <w:tc>
          <w:tcPr>
            <w:tcW w:w="379" w:type="pct"/>
            <w:shd w:val="clear" w:color="auto" w:fill="00ADEF"/>
            <w:noWrap/>
            <w:vAlign w:val="center"/>
          </w:tcPr>
          <w:p w14:paraId="6CF4938E" w14:textId="77777777" w:rsidR="00983AE6" w:rsidRPr="00736F23" w:rsidRDefault="00983AE6" w:rsidP="00983AE6">
            <w:pPr>
              <w:pStyle w:val="Tabletext"/>
              <w:spacing w:before="120" w:after="120"/>
              <w:rPr>
                <w:noProof/>
              </w:rPr>
            </w:pPr>
            <w:r w:rsidRPr="00736F23">
              <w:rPr>
                <w:noProof/>
              </w:rPr>
              <w:t>30 Apr</w:t>
            </w:r>
          </w:p>
        </w:tc>
        <w:tc>
          <w:tcPr>
            <w:tcW w:w="378" w:type="pct"/>
            <w:shd w:val="clear" w:color="auto" w:fill="00ADEF"/>
            <w:noWrap/>
            <w:vAlign w:val="center"/>
          </w:tcPr>
          <w:p w14:paraId="7DCDAC89" w14:textId="77777777" w:rsidR="00983AE6" w:rsidRPr="00736F23" w:rsidRDefault="00983AE6" w:rsidP="00983AE6">
            <w:pPr>
              <w:pStyle w:val="Tabletext"/>
              <w:spacing w:before="120" w:after="120"/>
              <w:rPr>
                <w:noProof/>
              </w:rPr>
            </w:pPr>
            <w:r w:rsidRPr="00736F23">
              <w:rPr>
                <w:noProof/>
              </w:rPr>
              <w:t>31 May</w:t>
            </w:r>
          </w:p>
        </w:tc>
        <w:tc>
          <w:tcPr>
            <w:tcW w:w="379" w:type="pct"/>
            <w:shd w:val="clear" w:color="auto" w:fill="00ADEF"/>
            <w:noWrap/>
            <w:vAlign w:val="center"/>
          </w:tcPr>
          <w:p w14:paraId="56611102" w14:textId="77777777" w:rsidR="00983AE6" w:rsidRPr="00736F23" w:rsidRDefault="00983AE6" w:rsidP="00983AE6">
            <w:pPr>
              <w:pStyle w:val="Tabletext"/>
              <w:spacing w:before="120" w:after="120"/>
              <w:rPr>
                <w:noProof/>
              </w:rPr>
            </w:pPr>
            <w:r w:rsidRPr="00736F23">
              <w:rPr>
                <w:noProof/>
              </w:rPr>
              <w:t>30 Jun</w:t>
            </w:r>
          </w:p>
        </w:tc>
        <w:tc>
          <w:tcPr>
            <w:tcW w:w="378" w:type="pct"/>
            <w:shd w:val="clear" w:color="auto" w:fill="00ADEF"/>
            <w:noWrap/>
            <w:vAlign w:val="center"/>
          </w:tcPr>
          <w:p w14:paraId="64D662B3" w14:textId="77777777" w:rsidR="00983AE6" w:rsidRPr="00736F23" w:rsidRDefault="00983AE6" w:rsidP="00983AE6">
            <w:pPr>
              <w:pStyle w:val="Tabletext"/>
              <w:spacing w:before="120" w:after="120"/>
              <w:rPr>
                <w:noProof/>
              </w:rPr>
            </w:pPr>
            <w:r w:rsidRPr="00736F23">
              <w:rPr>
                <w:noProof/>
              </w:rPr>
              <w:t>31 Jul</w:t>
            </w:r>
          </w:p>
        </w:tc>
        <w:tc>
          <w:tcPr>
            <w:tcW w:w="379" w:type="pct"/>
            <w:shd w:val="clear" w:color="auto" w:fill="00ADEF"/>
            <w:noWrap/>
            <w:vAlign w:val="center"/>
          </w:tcPr>
          <w:p w14:paraId="0F95593A" w14:textId="77777777" w:rsidR="00983AE6" w:rsidRPr="00736F23" w:rsidRDefault="00983AE6" w:rsidP="00983AE6">
            <w:pPr>
              <w:pStyle w:val="Tabletext"/>
              <w:spacing w:before="120" w:after="120"/>
              <w:rPr>
                <w:noProof/>
              </w:rPr>
            </w:pPr>
            <w:r w:rsidRPr="00736F23">
              <w:rPr>
                <w:noProof/>
              </w:rPr>
              <w:t>31 Aug</w:t>
            </w:r>
          </w:p>
        </w:tc>
        <w:tc>
          <w:tcPr>
            <w:tcW w:w="378" w:type="pct"/>
            <w:shd w:val="clear" w:color="auto" w:fill="00ADEF"/>
            <w:noWrap/>
            <w:vAlign w:val="center"/>
          </w:tcPr>
          <w:p w14:paraId="6F8CC4A2" w14:textId="77777777" w:rsidR="00983AE6" w:rsidRPr="00736F23" w:rsidRDefault="00983AE6" w:rsidP="00983AE6">
            <w:pPr>
              <w:pStyle w:val="Tabletext"/>
              <w:spacing w:before="120" w:after="120"/>
              <w:rPr>
                <w:noProof/>
              </w:rPr>
            </w:pPr>
            <w:r w:rsidRPr="00736F23">
              <w:rPr>
                <w:noProof/>
              </w:rPr>
              <w:t>30 Sep</w:t>
            </w:r>
          </w:p>
        </w:tc>
        <w:tc>
          <w:tcPr>
            <w:tcW w:w="379" w:type="pct"/>
            <w:shd w:val="clear" w:color="auto" w:fill="00ADEF"/>
            <w:noWrap/>
            <w:vAlign w:val="center"/>
          </w:tcPr>
          <w:p w14:paraId="06606E65" w14:textId="77777777" w:rsidR="00983AE6" w:rsidRPr="00736F23" w:rsidRDefault="00983AE6" w:rsidP="00983AE6">
            <w:pPr>
              <w:pStyle w:val="Tabletext"/>
              <w:spacing w:before="120" w:after="120"/>
              <w:rPr>
                <w:noProof/>
              </w:rPr>
            </w:pPr>
            <w:r w:rsidRPr="00736F23">
              <w:rPr>
                <w:noProof/>
              </w:rPr>
              <w:t>31 Oct</w:t>
            </w:r>
          </w:p>
        </w:tc>
        <w:tc>
          <w:tcPr>
            <w:tcW w:w="378" w:type="pct"/>
            <w:shd w:val="clear" w:color="auto" w:fill="00ADEF"/>
            <w:noWrap/>
            <w:vAlign w:val="center"/>
          </w:tcPr>
          <w:p w14:paraId="3C77CFC4" w14:textId="77777777" w:rsidR="00983AE6" w:rsidRPr="00736F23" w:rsidRDefault="00983AE6" w:rsidP="00983AE6">
            <w:pPr>
              <w:pStyle w:val="Tabletext"/>
              <w:spacing w:before="120" w:after="120"/>
              <w:rPr>
                <w:noProof/>
              </w:rPr>
            </w:pPr>
            <w:r w:rsidRPr="00736F23">
              <w:rPr>
                <w:noProof/>
              </w:rPr>
              <w:t>30 Nov</w:t>
            </w:r>
          </w:p>
        </w:tc>
        <w:tc>
          <w:tcPr>
            <w:tcW w:w="379" w:type="pct"/>
            <w:shd w:val="clear" w:color="auto" w:fill="00ADEF"/>
            <w:noWrap/>
            <w:vAlign w:val="center"/>
          </w:tcPr>
          <w:p w14:paraId="5B6A5915" w14:textId="77777777" w:rsidR="00983AE6" w:rsidRPr="00736F23" w:rsidRDefault="00983AE6" w:rsidP="00983AE6">
            <w:pPr>
              <w:pStyle w:val="Tabletext"/>
              <w:spacing w:before="120" w:after="120"/>
              <w:rPr>
                <w:noProof/>
              </w:rPr>
            </w:pPr>
            <w:r w:rsidRPr="00736F23">
              <w:rPr>
                <w:noProof/>
              </w:rPr>
              <w:t>3 Dec</w:t>
            </w:r>
          </w:p>
        </w:tc>
      </w:tr>
      <w:tr w:rsidR="00983AE6" w:rsidRPr="00736F23" w14:paraId="0B121289" w14:textId="77777777" w:rsidTr="005F300B">
        <w:trPr>
          <w:trHeight w:val="315"/>
        </w:trPr>
        <w:tc>
          <w:tcPr>
            <w:tcW w:w="487" w:type="pct"/>
            <w:shd w:val="clear" w:color="auto" w:fill="24206B"/>
            <w:noWrap/>
            <w:vAlign w:val="center"/>
            <w:hideMark/>
          </w:tcPr>
          <w:p w14:paraId="05C5DA2D" w14:textId="77777777" w:rsidR="00983AE6" w:rsidRPr="00736F23" w:rsidRDefault="00983AE6" w:rsidP="00983AE6">
            <w:pPr>
              <w:pStyle w:val="Tabletext"/>
              <w:spacing w:before="120" w:after="120"/>
              <w:rPr>
                <w:noProof/>
              </w:rPr>
            </w:pPr>
            <w:r w:rsidRPr="00736F23">
              <w:rPr>
                <w:noProof/>
              </w:rPr>
              <w:t>Payment Dates</w:t>
            </w:r>
          </w:p>
        </w:tc>
        <w:tc>
          <w:tcPr>
            <w:tcW w:w="350" w:type="pct"/>
            <w:shd w:val="clear" w:color="auto" w:fill="FFFFFF" w:themeFill="background1" w:themeFillTint="33"/>
            <w:noWrap/>
            <w:vAlign w:val="center"/>
            <w:hideMark/>
          </w:tcPr>
          <w:p w14:paraId="124FAC85" w14:textId="77777777" w:rsidR="00983AE6" w:rsidRPr="00736F23" w:rsidRDefault="00983AE6" w:rsidP="00983AE6">
            <w:pPr>
              <w:pStyle w:val="Tabletext"/>
              <w:spacing w:before="120" w:after="120"/>
              <w:rPr>
                <w:noProof/>
              </w:rPr>
            </w:pPr>
            <w:r w:rsidRPr="00736F23">
              <w:rPr>
                <w:noProof/>
              </w:rPr>
              <w:t xml:space="preserve">1 Mar </w:t>
            </w:r>
          </w:p>
        </w:tc>
        <w:tc>
          <w:tcPr>
            <w:tcW w:w="378" w:type="pct"/>
            <w:shd w:val="clear" w:color="auto" w:fill="FFFFFF" w:themeFill="background1" w:themeFillTint="33"/>
            <w:noWrap/>
            <w:vAlign w:val="center"/>
            <w:hideMark/>
          </w:tcPr>
          <w:p w14:paraId="159A1853" w14:textId="77777777" w:rsidR="00983AE6" w:rsidRPr="00736F23" w:rsidRDefault="00983AE6" w:rsidP="00983AE6">
            <w:pPr>
              <w:pStyle w:val="Tabletext"/>
              <w:spacing w:before="120" w:after="120"/>
              <w:rPr>
                <w:noProof/>
              </w:rPr>
            </w:pPr>
            <w:r w:rsidRPr="00736F23">
              <w:rPr>
                <w:noProof/>
              </w:rPr>
              <w:t>1 Apr</w:t>
            </w:r>
          </w:p>
        </w:tc>
        <w:tc>
          <w:tcPr>
            <w:tcW w:w="378" w:type="pct"/>
            <w:shd w:val="clear" w:color="auto" w:fill="FFFFFF" w:themeFill="background1" w:themeFillTint="33"/>
            <w:noWrap/>
            <w:vAlign w:val="center"/>
            <w:hideMark/>
          </w:tcPr>
          <w:p w14:paraId="53A3EFDC" w14:textId="77777777" w:rsidR="00983AE6" w:rsidRPr="00736F23" w:rsidRDefault="00983AE6" w:rsidP="00983AE6">
            <w:pPr>
              <w:pStyle w:val="Tabletext"/>
              <w:spacing w:before="120" w:after="120"/>
              <w:rPr>
                <w:noProof/>
              </w:rPr>
            </w:pPr>
            <w:r w:rsidRPr="00736F23">
              <w:rPr>
                <w:noProof/>
              </w:rPr>
              <w:t>1 May</w:t>
            </w:r>
          </w:p>
        </w:tc>
        <w:tc>
          <w:tcPr>
            <w:tcW w:w="379" w:type="pct"/>
            <w:shd w:val="clear" w:color="auto" w:fill="FFFFFF" w:themeFill="background1" w:themeFillTint="33"/>
            <w:noWrap/>
            <w:vAlign w:val="center"/>
            <w:hideMark/>
          </w:tcPr>
          <w:p w14:paraId="53359E3E" w14:textId="77777777" w:rsidR="00983AE6" w:rsidRPr="00736F23" w:rsidRDefault="00983AE6" w:rsidP="00983AE6">
            <w:pPr>
              <w:pStyle w:val="Tabletext"/>
              <w:spacing w:before="120" w:after="120"/>
              <w:rPr>
                <w:noProof/>
              </w:rPr>
            </w:pPr>
            <w:r w:rsidRPr="00736F23">
              <w:rPr>
                <w:noProof/>
              </w:rPr>
              <w:t>1 Jun</w:t>
            </w:r>
          </w:p>
        </w:tc>
        <w:tc>
          <w:tcPr>
            <w:tcW w:w="378" w:type="pct"/>
            <w:shd w:val="clear" w:color="auto" w:fill="FFFFFF" w:themeFill="background1" w:themeFillTint="33"/>
            <w:noWrap/>
            <w:vAlign w:val="center"/>
            <w:hideMark/>
          </w:tcPr>
          <w:p w14:paraId="4B0489C3" w14:textId="77777777" w:rsidR="00983AE6" w:rsidRPr="00736F23" w:rsidRDefault="00983AE6" w:rsidP="00983AE6">
            <w:pPr>
              <w:pStyle w:val="Tabletext"/>
              <w:spacing w:before="120" w:after="120"/>
              <w:rPr>
                <w:noProof/>
              </w:rPr>
            </w:pPr>
            <w:r w:rsidRPr="00736F23">
              <w:rPr>
                <w:noProof/>
              </w:rPr>
              <w:t>1 Jul</w:t>
            </w:r>
          </w:p>
        </w:tc>
        <w:tc>
          <w:tcPr>
            <w:tcW w:w="379" w:type="pct"/>
            <w:shd w:val="clear" w:color="auto" w:fill="FFFFFF" w:themeFill="background1" w:themeFillTint="33"/>
            <w:noWrap/>
            <w:vAlign w:val="center"/>
            <w:hideMark/>
          </w:tcPr>
          <w:p w14:paraId="0825E47F" w14:textId="77777777" w:rsidR="00983AE6" w:rsidRPr="00736F23" w:rsidRDefault="00983AE6" w:rsidP="00983AE6">
            <w:pPr>
              <w:pStyle w:val="Tabletext"/>
              <w:spacing w:before="120" w:after="120"/>
              <w:rPr>
                <w:noProof/>
              </w:rPr>
            </w:pPr>
            <w:r w:rsidRPr="00736F23">
              <w:rPr>
                <w:noProof/>
              </w:rPr>
              <w:t>1 Aug</w:t>
            </w:r>
          </w:p>
        </w:tc>
        <w:tc>
          <w:tcPr>
            <w:tcW w:w="378" w:type="pct"/>
            <w:shd w:val="clear" w:color="auto" w:fill="FFFFFF" w:themeFill="background1" w:themeFillTint="33"/>
            <w:noWrap/>
            <w:vAlign w:val="center"/>
            <w:hideMark/>
          </w:tcPr>
          <w:p w14:paraId="30BB89C5" w14:textId="77777777" w:rsidR="00983AE6" w:rsidRPr="00736F23" w:rsidRDefault="00983AE6" w:rsidP="00983AE6">
            <w:pPr>
              <w:pStyle w:val="Tabletext"/>
              <w:spacing w:before="120" w:after="120"/>
              <w:rPr>
                <w:noProof/>
              </w:rPr>
            </w:pPr>
            <w:r w:rsidRPr="00736F23">
              <w:rPr>
                <w:noProof/>
              </w:rPr>
              <w:t>1 Sep</w:t>
            </w:r>
          </w:p>
        </w:tc>
        <w:tc>
          <w:tcPr>
            <w:tcW w:w="379" w:type="pct"/>
            <w:shd w:val="clear" w:color="auto" w:fill="FFFFFF" w:themeFill="background1" w:themeFillTint="33"/>
            <w:noWrap/>
            <w:vAlign w:val="center"/>
            <w:hideMark/>
          </w:tcPr>
          <w:p w14:paraId="25A115CC" w14:textId="77777777" w:rsidR="00983AE6" w:rsidRPr="00736F23" w:rsidRDefault="00983AE6" w:rsidP="00983AE6">
            <w:pPr>
              <w:pStyle w:val="Tabletext"/>
              <w:spacing w:before="120" w:after="120"/>
              <w:rPr>
                <w:noProof/>
              </w:rPr>
            </w:pPr>
            <w:r w:rsidRPr="00736F23">
              <w:rPr>
                <w:noProof/>
              </w:rPr>
              <w:t>1 Oct</w:t>
            </w:r>
          </w:p>
        </w:tc>
        <w:tc>
          <w:tcPr>
            <w:tcW w:w="378" w:type="pct"/>
            <w:shd w:val="clear" w:color="auto" w:fill="FFFFFF" w:themeFill="background1" w:themeFillTint="33"/>
            <w:noWrap/>
            <w:vAlign w:val="center"/>
            <w:hideMark/>
          </w:tcPr>
          <w:p w14:paraId="2FCDF4AC" w14:textId="77777777" w:rsidR="00983AE6" w:rsidRPr="00736F23" w:rsidRDefault="00983AE6" w:rsidP="00983AE6">
            <w:pPr>
              <w:pStyle w:val="Tabletext"/>
              <w:spacing w:before="120" w:after="120"/>
              <w:rPr>
                <w:noProof/>
              </w:rPr>
            </w:pPr>
            <w:r w:rsidRPr="00736F23">
              <w:rPr>
                <w:noProof/>
              </w:rPr>
              <w:t>1 Nov</w:t>
            </w:r>
          </w:p>
        </w:tc>
        <w:tc>
          <w:tcPr>
            <w:tcW w:w="379" w:type="pct"/>
            <w:shd w:val="clear" w:color="auto" w:fill="FFFFFF" w:themeFill="background1" w:themeFillTint="33"/>
            <w:noWrap/>
            <w:vAlign w:val="center"/>
            <w:hideMark/>
          </w:tcPr>
          <w:p w14:paraId="0B3041DB" w14:textId="77777777" w:rsidR="00983AE6" w:rsidRPr="00736F23" w:rsidRDefault="00983AE6" w:rsidP="00983AE6">
            <w:pPr>
              <w:pStyle w:val="Tabletext"/>
              <w:spacing w:before="120" w:after="120"/>
              <w:rPr>
                <w:noProof/>
              </w:rPr>
            </w:pPr>
            <w:r w:rsidRPr="00736F23">
              <w:rPr>
                <w:noProof/>
              </w:rPr>
              <w:t>1 Dec</w:t>
            </w:r>
          </w:p>
        </w:tc>
        <w:tc>
          <w:tcPr>
            <w:tcW w:w="378" w:type="pct"/>
            <w:shd w:val="clear" w:color="auto" w:fill="FFFFFF" w:themeFill="background1" w:themeFillTint="33"/>
            <w:noWrap/>
            <w:vAlign w:val="center"/>
            <w:hideMark/>
          </w:tcPr>
          <w:p w14:paraId="555B1A17" w14:textId="77777777" w:rsidR="00983AE6" w:rsidRPr="00736F23" w:rsidRDefault="00983AE6" w:rsidP="00AF0B3E">
            <w:pPr>
              <w:pStyle w:val="Tabletext"/>
              <w:spacing w:before="120" w:after="120"/>
              <w:rPr>
                <w:noProof/>
              </w:rPr>
            </w:pPr>
            <w:r w:rsidRPr="00736F23">
              <w:rPr>
                <w:noProof/>
              </w:rPr>
              <w:t>1 Jan</w:t>
            </w:r>
            <w:r w:rsidR="00AF0B3E">
              <w:rPr>
                <w:noProof/>
              </w:rPr>
              <w:t xml:space="preserve"> ’18</w:t>
            </w:r>
          </w:p>
        </w:tc>
        <w:tc>
          <w:tcPr>
            <w:tcW w:w="379" w:type="pct"/>
            <w:shd w:val="clear" w:color="auto" w:fill="FFFFFF" w:themeFill="background1" w:themeFillTint="33"/>
            <w:noWrap/>
            <w:vAlign w:val="center"/>
            <w:hideMark/>
          </w:tcPr>
          <w:p w14:paraId="2304D2A7" w14:textId="77777777" w:rsidR="00983AE6" w:rsidRPr="00736F23" w:rsidRDefault="00983AE6" w:rsidP="00B96EE4">
            <w:pPr>
              <w:pStyle w:val="Tabletext"/>
              <w:spacing w:before="120" w:after="120"/>
              <w:rPr>
                <w:noProof/>
              </w:rPr>
            </w:pPr>
            <w:r w:rsidRPr="00736F23">
              <w:rPr>
                <w:noProof/>
              </w:rPr>
              <w:t>1 Feb</w:t>
            </w:r>
            <w:r w:rsidR="00AF0B3E">
              <w:rPr>
                <w:noProof/>
              </w:rPr>
              <w:t xml:space="preserve"> ‘18</w:t>
            </w:r>
          </w:p>
        </w:tc>
      </w:tr>
    </w:tbl>
    <w:p w14:paraId="4F5DB848" w14:textId="77777777" w:rsidR="00983AE6" w:rsidRPr="00736F23" w:rsidRDefault="00983AE6" w:rsidP="00983AE6">
      <w:pPr>
        <w:spacing w:after="0"/>
        <w:rPr>
          <w:rFonts w:cstheme="minorHAnsi"/>
          <w:b/>
          <w:iCs/>
          <w:color w:val="0070C0"/>
        </w:rPr>
        <w:sectPr w:rsidR="00983AE6" w:rsidRPr="00736F23" w:rsidSect="005F300B">
          <w:headerReference w:type="even" r:id="rId135"/>
          <w:headerReference w:type="default" r:id="rId136"/>
          <w:headerReference w:type="first" r:id="rId137"/>
          <w:footerReference w:type="first" r:id="rId138"/>
          <w:pgSz w:w="16838" w:h="11906" w:orient="landscape" w:code="9"/>
          <w:pgMar w:top="1440" w:right="1440" w:bottom="1440" w:left="1276" w:header="567" w:footer="0" w:gutter="0"/>
          <w:cols w:space="708"/>
          <w:titlePg/>
          <w:docGrid w:linePitch="360"/>
        </w:sectPr>
      </w:pPr>
    </w:p>
    <w:p w14:paraId="407F5F41" w14:textId="77777777" w:rsidR="00AF0B3E" w:rsidRPr="00AF0B3E" w:rsidRDefault="00AF0B3E" w:rsidP="00983AE6">
      <w:pPr>
        <w:spacing w:after="0"/>
        <w:rPr>
          <w:rFonts w:cstheme="minorHAnsi"/>
          <w:b/>
          <w:iCs/>
        </w:rPr>
      </w:pPr>
      <w:r w:rsidRPr="00AF0B3E">
        <w:rPr>
          <w:rFonts w:cstheme="minorHAnsi"/>
          <w:b/>
          <w:iCs/>
        </w:rPr>
        <w:lastRenderedPageBreak/>
        <w:t>NOTES:</w:t>
      </w:r>
    </w:p>
    <w:p w14:paraId="71761AC0" w14:textId="77777777" w:rsidR="00AF0B3E" w:rsidRDefault="00983AE6" w:rsidP="00A0727A">
      <w:pPr>
        <w:pStyle w:val="ListParagraph"/>
        <w:numPr>
          <w:ilvl w:val="0"/>
          <w:numId w:val="67"/>
        </w:numPr>
        <w:spacing w:after="120"/>
        <w:ind w:left="426"/>
      </w:pPr>
      <w:r w:rsidRPr="0096502C">
        <w:t>Information relating to census da</w:t>
      </w:r>
      <w:r>
        <w:t>y</w:t>
      </w:r>
      <w:r w:rsidRPr="0096502C">
        <w:t>s occurring in the month must be reported by the 7</w:t>
      </w:r>
      <w:r w:rsidRPr="00BC61CF">
        <w:t>th</w:t>
      </w:r>
      <w:r w:rsidRPr="0096502C">
        <w:t xml:space="preserve"> of the following month</w:t>
      </w:r>
      <w:r>
        <w:t xml:space="preserve"> (see section ‘</w:t>
      </w:r>
      <w:hyperlink w:anchor="_Reporting_deadlines" w:history="1">
        <w:r w:rsidRPr="00983AE6">
          <w:rPr>
            <w:rStyle w:val="Hyperlink"/>
          </w:rPr>
          <w:t>Reporting deadlines</w:t>
        </w:r>
      </w:hyperlink>
      <w:r>
        <w:t>’)</w:t>
      </w:r>
      <w:r w:rsidRPr="0096502C">
        <w:t>.</w:t>
      </w:r>
    </w:p>
    <w:p w14:paraId="5AED254B" w14:textId="3698B0A2" w:rsidR="00983AE6" w:rsidRDefault="00983AE6" w:rsidP="00A0727A">
      <w:pPr>
        <w:pStyle w:val="ListParagraph"/>
        <w:numPr>
          <w:ilvl w:val="0"/>
          <w:numId w:val="67"/>
        </w:numPr>
        <w:spacing w:after="120"/>
        <w:ind w:left="426"/>
      </w:pPr>
      <w:r w:rsidRPr="0096502C">
        <w:t>Payment will be made, following data monitoring and analysis and compliance checking, on the 1</w:t>
      </w:r>
      <w:r w:rsidRPr="00AF0B3E">
        <w:rPr>
          <w:vertAlign w:val="superscript"/>
        </w:rPr>
        <w:t>st</w:t>
      </w:r>
      <w:r w:rsidRPr="0096502C">
        <w:t xml:space="preserve"> of the next month. </w:t>
      </w:r>
    </w:p>
    <w:p w14:paraId="56BC9DAA" w14:textId="7D58FB98" w:rsidR="00AF0B3E" w:rsidRPr="0096502C" w:rsidRDefault="00AF0B3E" w:rsidP="00A0727A">
      <w:pPr>
        <w:pStyle w:val="ListParagraph"/>
        <w:numPr>
          <w:ilvl w:val="0"/>
          <w:numId w:val="67"/>
        </w:numPr>
        <w:spacing w:after="120"/>
        <w:ind w:left="426"/>
      </w:pPr>
      <w:r w:rsidRPr="00AF0B3E">
        <w:t>The consumption of a provider’s fee limit is based on when a unit census day falls, not when the payment is made. Therefore, a unit with a census day in Dec</w:t>
      </w:r>
      <w:r w:rsidR="00C7239B">
        <w:t>ember</w:t>
      </w:r>
      <w:r w:rsidRPr="00AF0B3E">
        <w:t xml:space="preserve"> 2017 will be </w:t>
      </w:r>
      <w:r w:rsidR="00C7239B">
        <w:t xml:space="preserve">assessed for payment </w:t>
      </w:r>
      <w:r w:rsidRPr="00AF0B3E">
        <w:t>on 1 Feb</w:t>
      </w:r>
      <w:r w:rsidR="00C7239B">
        <w:t>ruary</w:t>
      </w:r>
      <w:r w:rsidRPr="00AF0B3E">
        <w:t xml:space="preserve"> 2018 against the provider’s 2017 fee limit.</w:t>
      </w:r>
    </w:p>
    <w:p w14:paraId="1CF9606C" w14:textId="77777777" w:rsidR="00983AE6" w:rsidRDefault="00983AE6" w:rsidP="00983AE6">
      <w:pPr>
        <w:rPr>
          <w:b/>
          <w:color w:val="0070C0"/>
        </w:rPr>
      </w:pPr>
    </w:p>
    <w:p w14:paraId="25F4C4A9" w14:textId="77777777" w:rsidR="00755E6A" w:rsidRDefault="00755E6A">
      <w:pPr>
        <w:spacing w:line="276" w:lineRule="auto"/>
        <w:rPr>
          <w:rFonts w:cstheme="minorHAnsi"/>
          <w:b/>
          <w:iCs/>
          <w:color w:val="0070C0"/>
        </w:rPr>
      </w:pPr>
      <w:r>
        <w:rPr>
          <w:rFonts w:cstheme="minorHAnsi"/>
          <w:b/>
          <w:iCs/>
          <w:color w:val="0070C0"/>
        </w:rPr>
        <w:br w:type="page"/>
      </w:r>
    </w:p>
    <w:p w14:paraId="3A294E6D" w14:textId="77777777" w:rsidR="00983AE6" w:rsidRPr="00736F23" w:rsidRDefault="00983AE6" w:rsidP="00983AE6">
      <w:pPr>
        <w:spacing w:after="0"/>
        <w:rPr>
          <w:rFonts w:cstheme="minorHAnsi"/>
          <w:b/>
          <w:iCs/>
          <w:color w:val="0070C0"/>
        </w:rPr>
        <w:sectPr w:rsidR="00983AE6" w:rsidRPr="00736F23" w:rsidSect="005F300B">
          <w:type w:val="continuous"/>
          <w:pgSz w:w="16838" w:h="11906" w:orient="landscape" w:code="9"/>
          <w:pgMar w:top="1440" w:right="1440" w:bottom="1440" w:left="1276" w:header="567" w:footer="0" w:gutter="0"/>
          <w:cols w:space="708"/>
          <w:titlePg/>
          <w:docGrid w:linePitch="360"/>
        </w:sectPr>
      </w:pPr>
    </w:p>
    <w:p w14:paraId="5DB28CEE" w14:textId="77777777" w:rsidR="00983AE6" w:rsidRPr="00736F23" w:rsidRDefault="00983AE6" w:rsidP="009B6106">
      <w:pPr>
        <w:pStyle w:val="Heading2"/>
      </w:pPr>
      <w:bookmarkStart w:id="4867" w:name="_Appendix_J_-"/>
      <w:bookmarkStart w:id="4868" w:name="_Appendix_I_–"/>
      <w:bookmarkStart w:id="4869" w:name="_Toc477960080"/>
      <w:bookmarkStart w:id="4870" w:name="_Toc483222969"/>
      <w:bookmarkStart w:id="4871" w:name="_Toc501621281"/>
      <w:bookmarkEnd w:id="4867"/>
      <w:bookmarkEnd w:id="4868"/>
      <w:r w:rsidRPr="00736F23">
        <w:lastRenderedPageBreak/>
        <w:t xml:space="preserve">Appendix </w:t>
      </w:r>
      <w:r>
        <w:t xml:space="preserve">I </w:t>
      </w:r>
      <w:r w:rsidRPr="00736F23">
        <w:t>– Equivalent full-time student load</w:t>
      </w:r>
      <w:bookmarkEnd w:id="4869"/>
      <w:bookmarkEnd w:id="4870"/>
      <w:bookmarkEnd w:id="4871"/>
    </w:p>
    <w:p w14:paraId="25D55E6E" w14:textId="77777777" w:rsidR="00983AE6" w:rsidRPr="00736F23" w:rsidRDefault="00983AE6" w:rsidP="00983AE6">
      <w:r w:rsidRPr="00736F23">
        <w:t xml:space="preserve">Equivalent full-time student load (EFTSL) is a measure of the study load based on a student undertaking a course on a full-time basis over an academic year. An academic year is determined by the provider based on its operations. EFTSL is used in data reporting via </w:t>
      </w:r>
      <w:hyperlink w:anchor="_System_requirements" w:history="1">
        <w:r w:rsidRPr="005722A4">
          <w:rPr>
            <w:rStyle w:val="Hyperlink"/>
          </w:rPr>
          <w:t>HEPCAT</w:t>
        </w:r>
      </w:hyperlink>
      <w:r w:rsidRPr="00736F23">
        <w:t>.</w:t>
      </w:r>
    </w:p>
    <w:p w14:paraId="05945EE2" w14:textId="77777777" w:rsidR="00983AE6" w:rsidRPr="00736F23" w:rsidRDefault="00983AE6" w:rsidP="00983AE6">
      <w:r w:rsidRPr="00736F23">
        <w:t xml:space="preserve">NOTE: A provider may mirror the Full Year Training Equivalent </w:t>
      </w:r>
      <w:r w:rsidRPr="006E60D7">
        <w:t>(FYTE)</w:t>
      </w:r>
      <w:r w:rsidRPr="00736F23">
        <w:t xml:space="preserve"> values when calculating or reporting EFTSL. </w:t>
      </w:r>
    </w:p>
    <w:p w14:paraId="2808AB11" w14:textId="77777777" w:rsidR="00983AE6" w:rsidRPr="00736F23" w:rsidRDefault="00983AE6" w:rsidP="00983AE6">
      <w:r w:rsidRPr="00736F23">
        <w:t>A typical full time student load for a one-year course will have an EFTSL of 1.0. A student studying at less than a full-time student load would incur an EFTSL less than 1.0. For example, EFTSL for a part-time student undertaking half of the full-time student load would be 0.5; a quarter of the full-time student load would be 0.25 and so on.</w:t>
      </w:r>
    </w:p>
    <w:p w14:paraId="6F977008" w14:textId="77777777" w:rsidR="00983AE6" w:rsidRPr="00736F23" w:rsidRDefault="00983AE6" w:rsidP="00983AE6">
      <w:r w:rsidRPr="00736F23">
        <w:t xml:space="preserve">For the purposes of VET FEE-HELP </w:t>
      </w:r>
      <w:r>
        <w:t xml:space="preserve">and VET Student Loans </w:t>
      </w:r>
      <w:r w:rsidRPr="00736F23">
        <w:t>data reporting, the provider determines the EFTSL for each course and unit of study a</w:t>
      </w:r>
      <w:r>
        <w:t>gainst study undertaken by full</w:t>
      </w:r>
      <w:r>
        <w:noBreakHyphen/>
      </w:r>
      <w:r w:rsidRPr="00736F23">
        <w:t>time students. The provider may use a number of methods to determine EFTSL. For example, students may have to undertake a certain number of competencies, VET units of study or complete a minimum number of nominal hours in a full academic year to be considered a full-time student for the full year to have a calculated EFTSL of 1.0.</w:t>
      </w:r>
    </w:p>
    <w:p w14:paraId="1FB1E057" w14:textId="77777777" w:rsidR="00983AE6" w:rsidRPr="00736F23" w:rsidRDefault="00983AE6" w:rsidP="00983AE6">
      <w:r w:rsidRPr="00736F23">
        <w:t>The provider determines the EFTSL value for each VET unit of study that makes up each course it offers. The EFTSL value of a VET unit of study is determined by calculating the proportion of the full</w:t>
      </w:r>
      <w:r w:rsidRPr="00736F23">
        <w:noBreakHyphen/>
        <w:t>time study load of one academic year the unit of study</w:t>
      </w:r>
      <w:r>
        <w:t xml:space="preserve"> or part of the course</w:t>
      </w:r>
      <w:r w:rsidRPr="00736F23">
        <w:t xml:space="preserve"> represents.</w:t>
      </w:r>
    </w:p>
    <w:p w14:paraId="05F81FC8" w14:textId="77777777" w:rsidR="00983AE6" w:rsidRPr="00736F23" w:rsidRDefault="00983AE6" w:rsidP="00983AE6">
      <w:r w:rsidRPr="00736F23">
        <w:t>When calculating the length of units of study, the provider must include supervised and unsupervised learning or training necessary to cover the material associated with the delivery and assessment of the unit of study and time spent in workplace learning or industry placement.</w:t>
      </w:r>
    </w:p>
    <w:p w14:paraId="1AE7FBA6" w14:textId="28958551" w:rsidR="002E41EA" w:rsidRPr="0097236C" w:rsidRDefault="002E41EA" w:rsidP="0097236C">
      <w:pPr>
        <w:rPr>
          <w:b/>
        </w:rPr>
      </w:pPr>
      <w:r w:rsidRPr="0097236C">
        <w:rPr>
          <w:b/>
        </w:rPr>
        <w:t xml:space="preserve">Reporting EFTSL for part time students </w:t>
      </w:r>
    </w:p>
    <w:p w14:paraId="50ADC76D" w14:textId="34C5DBD4" w:rsidR="002E41EA" w:rsidRPr="0097236C" w:rsidRDefault="002E41EA" w:rsidP="0097236C">
      <w:r w:rsidRPr="0097236C">
        <w:t>For providers needing to report a student based on the amount of hours the following examples would apply:</w:t>
      </w:r>
    </w:p>
    <w:p w14:paraId="4E15F6E9" w14:textId="77777777" w:rsidR="00CF77FB" w:rsidRDefault="002E41EA" w:rsidP="00CF77FB">
      <w:pPr>
        <w:spacing w:after="120"/>
        <w:rPr>
          <w:rFonts w:ascii="Calibri" w:eastAsia="Calibri" w:hAnsi="Calibri" w:cs="Calibri"/>
        </w:rPr>
      </w:pPr>
      <w:r w:rsidRPr="00515459">
        <w:rPr>
          <w:rFonts w:ascii="Calibri" w:eastAsia="Calibri" w:hAnsi="Calibri" w:cs="Calibri"/>
        </w:rPr>
        <w:t>For example, if you assume that 720 hours is equa</w:t>
      </w:r>
      <w:r w:rsidR="00CF77FB">
        <w:rPr>
          <w:rFonts w:ascii="Calibri" w:eastAsia="Calibri" w:hAnsi="Calibri" w:cs="Calibri"/>
        </w:rPr>
        <w:t>l to one year’s full-time study:</w:t>
      </w:r>
    </w:p>
    <w:p w14:paraId="35C87C50" w14:textId="56E7F6CD" w:rsidR="002E41EA" w:rsidRPr="00515459" w:rsidRDefault="002E41EA" w:rsidP="00CF77FB">
      <w:pPr>
        <w:numPr>
          <w:ilvl w:val="0"/>
          <w:numId w:val="62"/>
        </w:numPr>
        <w:spacing w:after="120"/>
        <w:rPr>
          <w:rFonts w:ascii="Calibri" w:eastAsia="Calibri" w:hAnsi="Calibri" w:cs="Calibri"/>
        </w:rPr>
      </w:pPr>
      <w:r w:rsidRPr="00515459">
        <w:rPr>
          <w:rFonts w:ascii="Calibri" w:eastAsia="Calibri" w:hAnsi="Calibri" w:cs="Calibri"/>
        </w:rPr>
        <w:t xml:space="preserve">then a course </w:t>
      </w:r>
      <w:r w:rsidR="008824ED">
        <w:rPr>
          <w:rFonts w:ascii="Calibri" w:eastAsia="Calibri" w:hAnsi="Calibri" w:cs="Calibri"/>
        </w:rPr>
        <w:t>that requires</w:t>
      </w:r>
      <w:r w:rsidRPr="00515459">
        <w:rPr>
          <w:rFonts w:ascii="Calibri" w:eastAsia="Calibri" w:hAnsi="Calibri" w:cs="Calibri"/>
        </w:rPr>
        <w:t xml:space="preserve"> 720 hours</w:t>
      </w:r>
      <w:r w:rsidR="008824ED">
        <w:rPr>
          <w:rFonts w:ascii="Calibri" w:eastAsia="Calibri" w:hAnsi="Calibri" w:cs="Calibri"/>
        </w:rPr>
        <w:t>’</w:t>
      </w:r>
      <w:r w:rsidRPr="00515459">
        <w:rPr>
          <w:rFonts w:ascii="Calibri" w:eastAsia="Calibri" w:hAnsi="Calibri" w:cs="Calibri"/>
        </w:rPr>
        <w:t xml:space="preserve"> </w:t>
      </w:r>
      <w:r w:rsidR="008824ED">
        <w:rPr>
          <w:rFonts w:ascii="Calibri" w:eastAsia="Calibri" w:hAnsi="Calibri" w:cs="Calibri"/>
        </w:rPr>
        <w:t xml:space="preserve">study </w:t>
      </w:r>
      <w:r w:rsidRPr="00515459">
        <w:rPr>
          <w:rFonts w:ascii="Calibri" w:eastAsia="Calibri" w:hAnsi="Calibri" w:cs="Calibri"/>
        </w:rPr>
        <w:t>is 1 EFTSL. If the course is broken up into 4 equal parts, of 180</w:t>
      </w:r>
      <w:r w:rsidR="008824ED">
        <w:rPr>
          <w:rFonts w:ascii="Calibri" w:eastAsia="Calibri" w:hAnsi="Calibri" w:cs="Calibri"/>
        </w:rPr>
        <w:t> </w:t>
      </w:r>
      <w:r w:rsidRPr="00515459">
        <w:rPr>
          <w:rFonts w:ascii="Calibri" w:eastAsia="Calibri" w:hAnsi="Calibri" w:cs="Calibri"/>
        </w:rPr>
        <w:t xml:space="preserve">hours each, then each </w:t>
      </w:r>
      <w:r w:rsidR="00C7239B">
        <w:rPr>
          <w:rFonts w:ascii="Calibri" w:eastAsia="Calibri" w:hAnsi="Calibri" w:cs="Calibri"/>
        </w:rPr>
        <w:t>part</w:t>
      </w:r>
      <w:r w:rsidRPr="00515459">
        <w:rPr>
          <w:rFonts w:ascii="Calibri" w:eastAsia="Calibri" w:hAnsi="Calibri" w:cs="Calibri"/>
        </w:rPr>
        <w:t xml:space="preserve"> is 0.25 EFTSL.</w:t>
      </w:r>
    </w:p>
    <w:p w14:paraId="6755C920" w14:textId="60B855EE" w:rsidR="002E41EA" w:rsidRPr="00515459" w:rsidRDefault="00CF77FB" w:rsidP="00A0727A">
      <w:pPr>
        <w:numPr>
          <w:ilvl w:val="0"/>
          <w:numId w:val="62"/>
        </w:numPr>
        <w:spacing w:after="120"/>
        <w:rPr>
          <w:rFonts w:ascii="Calibri" w:eastAsia="Calibri" w:hAnsi="Calibri" w:cs="Calibri"/>
        </w:rPr>
      </w:pPr>
      <w:r>
        <w:rPr>
          <w:rFonts w:ascii="Calibri" w:eastAsia="Calibri" w:hAnsi="Calibri" w:cs="Calibri"/>
        </w:rPr>
        <w:t>a</w:t>
      </w:r>
      <w:r w:rsidR="002E41EA" w:rsidRPr="00515459">
        <w:rPr>
          <w:rFonts w:ascii="Calibri" w:eastAsia="Calibri" w:hAnsi="Calibri" w:cs="Calibri"/>
        </w:rPr>
        <w:t xml:space="preserve">lternatively, if the course </w:t>
      </w:r>
      <w:r w:rsidR="008824ED">
        <w:rPr>
          <w:rFonts w:ascii="Calibri" w:eastAsia="Calibri" w:hAnsi="Calibri" w:cs="Calibri"/>
        </w:rPr>
        <w:t>requires a total of</w:t>
      </w:r>
      <w:r>
        <w:rPr>
          <w:rFonts w:ascii="Calibri" w:eastAsia="Calibri" w:hAnsi="Calibri" w:cs="Calibri"/>
        </w:rPr>
        <w:t xml:space="preserve"> </w:t>
      </w:r>
      <w:r w:rsidR="002E41EA" w:rsidRPr="00515459">
        <w:rPr>
          <w:rFonts w:ascii="Calibri" w:eastAsia="Calibri" w:hAnsi="Calibri" w:cs="Calibri"/>
        </w:rPr>
        <w:t xml:space="preserve">1080 hours </w:t>
      </w:r>
      <w:r w:rsidR="008824ED">
        <w:rPr>
          <w:rFonts w:ascii="Calibri" w:eastAsia="Calibri" w:hAnsi="Calibri" w:cs="Calibri"/>
        </w:rPr>
        <w:t xml:space="preserve">study </w:t>
      </w:r>
      <w:r w:rsidR="002E41EA" w:rsidRPr="00515459">
        <w:rPr>
          <w:rFonts w:ascii="Calibri" w:eastAsia="Calibri" w:hAnsi="Calibri" w:cs="Calibri"/>
        </w:rPr>
        <w:t>(= 720 x 1.5)</w:t>
      </w:r>
      <w:r w:rsidR="007512A6">
        <w:rPr>
          <w:rFonts w:ascii="Calibri" w:eastAsia="Calibri" w:hAnsi="Calibri" w:cs="Calibri"/>
        </w:rPr>
        <w:t xml:space="preserve"> </w:t>
      </w:r>
      <w:r w:rsidR="002E41EA" w:rsidRPr="00515459">
        <w:rPr>
          <w:rFonts w:ascii="Calibri" w:eastAsia="Calibri" w:hAnsi="Calibri" w:cs="Calibri"/>
        </w:rPr>
        <w:t>then the total EFTSL for the course is 1.5. If the course is broken into three equal parts of 360 hours each, then each of these has an EFTSL of 0.5 (or 1/3 of 1.5)</w:t>
      </w:r>
      <w:r w:rsidR="008824ED">
        <w:rPr>
          <w:rFonts w:ascii="Calibri" w:eastAsia="Calibri" w:hAnsi="Calibri" w:cs="Calibri"/>
        </w:rPr>
        <w:t xml:space="preserve">. </w:t>
      </w:r>
    </w:p>
    <w:p w14:paraId="7F82F4DA" w14:textId="50C170C8" w:rsidR="00EE25AD" w:rsidRDefault="002E41EA" w:rsidP="0097236C">
      <w:pPr>
        <w:ind w:left="284"/>
      </w:pPr>
      <w:r w:rsidRPr="00925C8A">
        <w:rPr>
          <w:bCs/>
          <w:i/>
          <w:sz w:val="20"/>
        </w:rPr>
        <w:t xml:space="preserve">[NB both examples assume that 720 hours is equal to one year’s full-time study for the courses </w:t>
      </w:r>
      <w:r w:rsidRPr="00C00B14">
        <w:rPr>
          <w:bCs/>
          <w:i/>
          <w:sz w:val="20"/>
        </w:rPr>
        <w:t>listed]</w:t>
      </w:r>
      <w:r w:rsidRPr="00C00B14" w:rsidDel="002E41EA">
        <w:rPr>
          <w:bCs/>
          <w:i/>
          <w:sz w:val="20"/>
        </w:rPr>
        <w:t xml:space="preserve"> </w:t>
      </w:r>
      <w:r w:rsidR="00EE25AD">
        <w:br w:type="page"/>
      </w:r>
    </w:p>
    <w:p w14:paraId="5DF85C5C" w14:textId="77777777" w:rsidR="005F300B" w:rsidRDefault="00EE25AD" w:rsidP="00BD1115">
      <w:pPr>
        <w:pStyle w:val="Heading2"/>
      </w:pPr>
      <w:bookmarkStart w:id="4872" w:name="_Toc501621282"/>
      <w:r>
        <w:lastRenderedPageBreak/>
        <w:t xml:space="preserve">Appendix J – Provider </w:t>
      </w:r>
      <w:r w:rsidR="00E74B1D">
        <w:t>resources</w:t>
      </w:r>
      <w:bookmarkEnd w:id="4872"/>
    </w:p>
    <w:p w14:paraId="1BFC175B" w14:textId="77777777" w:rsidR="00E74B1D" w:rsidRDefault="00E74B1D" w:rsidP="00BD1115">
      <w:pPr>
        <w:spacing w:after="0"/>
      </w:pPr>
      <w:r>
        <w:t>The following provider resources are available at:</w:t>
      </w:r>
    </w:p>
    <w:p w14:paraId="3118C10C" w14:textId="77777777" w:rsidR="00E74B1D" w:rsidRDefault="0016765E" w:rsidP="00BD1115">
      <w:pPr>
        <w:spacing w:after="240"/>
      </w:pPr>
      <w:hyperlink r:id="rId139" w:history="1">
        <w:r w:rsidR="00E74B1D" w:rsidRPr="00D9490D">
          <w:rPr>
            <w:rStyle w:val="Hyperlink"/>
          </w:rPr>
          <w:t>www.education.gov.au/information-vet-student-loans-approved-providers</w:t>
        </w:r>
      </w:hyperlink>
      <w:r w:rsidR="00E74B1D">
        <w:t xml:space="preserve"> </w:t>
      </w:r>
    </w:p>
    <w:p w14:paraId="1DB2ABAC" w14:textId="77777777" w:rsidR="00E74B1D" w:rsidRPr="00A5748D" w:rsidRDefault="00E74B1D" w:rsidP="00BD1115">
      <w:pPr>
        <w:spacing w:after="240"/>
        <w:rPr>
          <w:b/>
          <w:sz w:val="28"/>
          <w:szCs w:val="28"/>
          <w:lang w:val="en"/>
        </w:rPr>
      </w:pPr>
      <w:r w:rsidRPr="00A5748D">
        <w:rPr>
          <w:b/>
          <w:sz w:val="28"/>
          <w:szCs w:val="28"/>
          <w:lang w:val="en"/>
        </w:rPr>
        <w:t>Factsheets</w:t>
      </w:r>
    </w:p>
    <w:p w14:paraId="6A70B5CE" w14:textId="77777777" w:rsidR="00FA5E00" w:rsidRPr="00FA5E00" w:rsidRDefault="0016765E" w:rsidP="00FA5E00">
      <w:pPr>
        <w:spacing w:before="100" w:beforeAutospacing="1" w:after="120"/>
        <w:rPr>
          <w:rStyle w:val="Hyperlink"/>
          <w:rFonts w:cstheme="minorHAnsi"/>
          <w:lang w:val="en"/>
        </w:rPr>
      </w:pPr>
      <w:hyperlink r:id="rId140" w:history="1">
        <w:r w:rsidR="00FA5E00" w:rsidRPr="00FA5E00">
          <w:rPr>
            <w:rStyle w:val="Hyperlink"/>
            <w:rFonts w:cstheme="minorHAnsi"/>
            <w:lang w:val="en"/>
          </w:rPr>
          <w:t xml:space="preserve">Cost Recovery Implementation Statement – information on cost recovery </w:t>
        </w:r>
      </w:hyperlink>
    </w:p>
    <w:p w14:paraId="4E9983ED" w14:textId="3EC3071B" w:rsidR="00E74B1D" w:rsidRPr="00BD1115" w:rsidRDefault="0016765E" w:rsidP="00BD1115">
      <w:pPr>
        <w:spacing w:before="100" w:beforeAutospacing="1" w:after="120"/>
        <w:rPr>
          <w:rFonts w:cstheme="minorHAnsi"/>
          <w:color w:val="333333"/>
          <w:lang w:val="en"/>
        </w:rPr>
      </w:pPr>
      <w:hyperlink r:id="rId141" w:history="1">
        <w:r w:rsidR="00E74B1D" w:rsidRPr="00BD1115">
          <w:rPr>
            <w:rStyle w:val="Hyperlink"/>
            <w:rFonts w:cstheme="minorHAnsi"/>
            <w:lang w:val="en"/>
          </w:rPr>
          <w:t>Data Provision and Statutory Declarations for 2017 Monthly Census Dates</w:t>
        </w:r>
      </w:hyperlink>
    </w:p>
    <w:p w14:paraId="7ED8EBC3" w14:textId="482C0365" w:rsidR="00E74B1D" w:rsidRDefault="0016765E" w:rsidP="00BD1115">
      <w:pPr>
        <w:spacing w:before="100" w:beforeAutospacing="1" w:after="120"/>
        <w:rPr>
          <w:rStyle w:val="Hyperlink"/>
          <w:rFonts w:cstheme="minorHAnsi"/>
          <w:lang w:val="en"/>
        </w:rPr>
      </w:pPr>
      <w:hyperlink r:id="rId142" w:history="1">
        <w:r w:rsidR="00E74B1D" w:rsidRPr="00BD1115">
          <w:rPr>
            <w:rStyle w:val="Hyperlink"/>
            <w:rFonts w:cstheme="minorHAnsi"/>
            <w:lang w:val="en"/>
          </w:rPr>
          <w:t xml:space="preserve">Process for </w:t>
        </w:r>
        <w:r w:rsidR="002E41EA">
          <w:rPr>
            <w:rStyle w:val="Hyperlink"/>
            <w:rFonts w:cstheme="minorHAnsi"/>
            <w:lang w:val="en"/>
          </w:rPr>
          <w:t>a</w:t>
        </w:r>
        <w:r w:rsidR="00E74B1D" w:rsidRPr="00BD1115">
          <w:rPr>
            <w:rStyle w:val="Hyperlink"/>
            <w:rFonts w:cstheme="minorHAnsi"/>
            <w:lang w:val="en"/>
          </w:rPr>
          <w:t xml:space="preserve">pproved </w:t>
        </w:r>
        <w:r w:rsidR="00BB6813">
          <w:rPr>
            <w:rStyle w:val="Hyperlink"/>
            <w:rFonts w:cstheme="minorHAnsi"/>
            <w:lang w:val="en"/>
          </w:rPr>
          <w:t>p</w:t>
        </w:r>
        <w:r w:rsidR="00BB6813" w:rsidRPr="00BD1115">
          <w:rPr>
            <w:rStyle w:val="Hyperlink"/>
            <w:rFonts w:cstheme="minorHAnsi"/>
            <w:lang w:val="en"/>
          </w:rPr>
          <w:t xml:space="preserve">roviders </w:t>
        </w:r>
        <w:r w:rsidR="00E74B1D" w:rsidRPr="00BD1115">
          <w:rPr>
            <w:rStyle w:val="Hyperlink"/>
            <w:rFonts w:cstheme="minorHAnsi"/>
            <w:lang w:val="en"/>
          </w:rPr>
          <w:t>applying for additional courses</w:t>
        </w:r>
      </w:hyperlink>
    </w:p>
    <w:p w14:paraId="4F96BC28" w14:textId="77777777" w:rsidR="002E41EA" w:rsidRPr="00BD1115" w:rsidRDefault="0016765E" w:rsidP="00BD1115">
      <w:pPr>
        <w:spacing w:before="100" w:beforeAutospacing="1" w:after="120"/>
        <w:rPr>
          <w:rFonts w:cstheme="minorHAnsi"/>
          <w:color w:val="333333"/>
          <w:lang w:val="en"/>
        </w:rPr>
      </w:pPr>
      <w:hyperlink r:id="rId143" w:history="1">
        <w:r w:rsidR="002E41EA" w:rsidRPr="004C33DD">
          <w:rPr>
            <w:rStyle w:val="Hyperlink"/>
            <w:rFonts w:cstheme="minorHAnsi"/>
            <w:lang w:val="en"/>
          </w:rPr>
          <w:t>Process for approved providers applying to increase their provider fee limit</w:t>
        </w:r>
      </w:hyperlink>
    </w:p>
    <w:p w14:paraId="77697176" w14:textId="0E5E8B88" w:rsidR="00CF77FB" w:rsidRPr="00CF77FB" w:rsidRDefault="00CF77FB" w:rsidP="00BD1115">
      <w:pPr>
        <w:spacing w:before="100" w:beforeAutospacing="1" w:after="120"/>
        <w:rPr>
          <w:rStyle w:val="Hyperlink"/>
          <w:rFonts w:cstheme="minorHAnsi"/>
          <w:lang w:val="en"/>
        </w:rPr>
      </w:pPr>
      <w:r w:rsidRPr="00CF77FB">
        <w:rPr>
          <w:rStyle w:val="Hyperlink"/>
          <w:rFonts w:cstheme="minorHAnsi"/>
          <w:lang w:val="en"/>
        </w:rPr>
        <w:t>VET Student Loans Course Caps Indexed Amounts</w:t>
      </w:r>
    </w:p>
    <w:p w14:paraId="64BD36E0" w14:textId="7E17F045" w:rsidR="00E74B1D" w:rsidRDefault="0016765E" w:rsidP="00BD1115">
      <w:pPr>
        <w:spacing w:before="100" w:beforeAutospacing="1" w:after="120"/>
        <w:rPr>
          <w:rStyle w:val="Hyperlink"/>
          <w:rFonts w:cstheme="minorHAnsi"/>
          <w:lang w:val="en"/>
        </w:rPr>
      </w:pPr>
      <w:hyperlink r:id="rId144" w:history="1">
        <w:r w:rsidR="00E74B1D" w:rsidRPr="00BD1115">
          <w:rPr>
            <w:rStyle w:val="Hyperlink"/>
            <w:rFonts w:cstheme="minorHAnsi"/>
            <w:lang w:val="en"/>
          </w:rPr>
          <w:t>VET Student Loans Student Engagement and Progression</w:t>
        </w:r>
      </w:hyperlink>
    </w:p>
    <w:p w14:paraId="49EF223D" w14:textId="77777777" w:rsidR="004C33DD" w:rsidRPr="004C33DD" w:rsidRDefault="0016765E" w:rsidP="00BD1115">
      <w:pPr>
        <w:spacing w:before="100" w:beforeAutospacing="1" w:after="120"/>
        <w:rPr>
          <w:rStyle w:val="Hyperlink"/>
          <w:rFonts w:cstheme="minorHAnsi"/>
          <w:lang w:val="en"/>
        </w:rPr>
      </w:pPr>
      <w:hyperlink r:id="rId145" w:history="1">
        <w:r w:rsidR="004C33DD" w:rsidRPr="004C33DD">
          <w:rPr>
            <w:rStyle w:val="Hyperlink"/>
            <w:rFonts w:cs="Helvetica"/>
            <w:lang w:val="en"/>
          </w:rPr>
          <w:t>VET Student Loans Statistics</w:t>
        </w:r>
      </w:hyperlink>
    </w:p>
    <w:p w14:paraId="396BD2B7" w14:textId="5B8B05AB" w:rsidR="00E74B1D" w:rsidRPr="00A5748D" w:rsidRDefault="007D60BB" w:rsidP="001C4184">
      <w:pPr>
        <w:spacing w:before="240" w:after="240"/>
        <w:rPr>
          <w:b/>
          <w:sz w:val="28"/>
          <w:szCs w:val="28"/>
          <w:lang w:val="en"/>
        </w:rPr>
      </w:pPr>
      <w:r w:rsidRPr="00A5748D">
        <w:rPr>
          <w:b/>
          <w:sz w:val="28"/>
          <w:szCs w:val="28"/>
          <w:lang w:val="en"/>
        </w:rPr>
        <w:t>Forms</w:t>
      </w:r>
    </w:p>
    <w:p w14:paraId="2EB74CB8" w14:textId="77777777" w:rsidR="00F80052" w:rsidRDefault="0016765E" w:rsidP="00F80052">
      <w:pPr>
        <w:spacing w:before="100" w:beforeAutospacing="1" w:after="120"/>
        <w:rPr>
          <w:rStyle w:val="Hyperlink"/>
          <w:rFonts w:cstheme="minorHAnsi"/>
          <w:lang w:val="en"/>
        </w:rPr>
      </w:pPr>
      <w:hyperlink r:id="rId146" w:history="1">
        <w:r w:rsidR="00F80052" w:rsidRPr="00BD1115">
          <w:rPr>
            <w:rStyle w:val="Hyperlink"/>
            <w:rFonts w:cstheme="minorHAnsi"/>
            <w:lang w:val="en"/>
          </w:rPr>
          <w:t xml:space="preserve">Provider request for additional courses form </w:t>
        </w:r>
      </w:hyperlink>
    </w:p>
    <w:p w14:paraId="4907059C" w14:textId="77777777" w:rsidR="00F80052" w:rsidRPr="00BD1115" w:rsidRDefault="00F80052" w:rsidP="00F80052">
      <w:pPr>
        <w:spacing w:before="100" w:beforeAutospacing="1" w:after="120"/>
        <w:rPr>
          <w:rFonts w:cstheme="minorHAnsi"/>
          <w:color w:val="333333"/>
          <w:lang w:val="en"/>
        </w:rPr>
      </w:pPr>
      <w:r>
        <w:rPr>
          <w:rStyle w:val="Hyperlink"/>
          <w:rFonts w:cstheme="minorHAnsi"/>
          <w:lang w:val="en"/>
        </w:rPr>
        <w:t>Provider request to vary VSL Fee Limit form</w:t>
      </w:r>
    </w:p>
    <w:p w14:paraId="787F9590" w14:textId="2B95A846" w:rsidR="00E74B1D" w:rsidRPr="00BD1115" w:rsidRDefault="0016765E" w:rsidP="00BD1115">
      <w:pPr>
        <w:spacing w:before="100" w:beforeAutospacing="1" w:after="120"/>
        <w:rPr>
          <w:rFonts w:cstheme="minorHAnsi"/>
          <w:color w:val="333333"/>
          <w:lang w:val="en"/>
        </w:rPr>
      </w:pPr>
      <w:hyperlink r:id="rId147" w:history="1">
        <w:r w:rsidR="00E74B1D" w:rsidRPr="00BD1115">
          <w:rPr>
            <w:rStyle w:val="Hyperlink"/>
            <w:rFonts w:cstheme="minorHAnsi"/>
            <w:lang w:val="en"/>
          </w:rPr>
          <w:t xml:space="preserve">Statutory Declaration - VET FEE-HELP and VET Student Loans </w:t>
        </w:r>
      </w:hyperlink>
    </w:p>
    <w:p w14:paraId="5199ADDF" w14:textId="77777777" w:rsidR="00E74B1D" w:rsidRPr="00BD1115" w:rsidRDefault="0016765E" w:rsidP="00BD1115">
      <w:pPr>
        <w:spacing w:before="100" w:beforeAutospacing="1" w:after="120"/>
        <w:rPr>
          <w:rFonts w:cstheme="minorHAnsi"/>
          <w:color w:val="333333"/>
          <w:lang w:val="en"/>
        </w:rPr>
      </w:pPr>
      <w:hyperlink r:id="rId148" w:history="1">
        <w:r w:rsidR="00E74B1D" w:rsidRPr="00BD1115">
          <w:rPr>
            <w:rStyle w:val="Hyperlink"/>
            <w:rFonts w:cstheme="minorHAnsi"/>
            <w:lang w:val="en"/>
          </w:rPr>
          <w:t>VET Student Loans Parental Consent Form</w:t>
        </w:r>
      </w:hyperlink>
    </w:p>
    <w:p w14:paraId="0FB027E5" w14:textId="77777777" w:rsidR="00E74B1D" w:rsidRPr="00A5748D" w:rsidRDefault="00E74B1D" w:rsidP="001C4184">
      <w:pPr>
        <w:spacing w:before="240" w:after="240"/>
        <w:rPr>
          <w:b/>
          <w:sz w:val="28"/>
          <w:szCs w:val="28"/>
          <w:lang w:val="en"/>
        </w:rPr>
      </w:pPr>
      <w:r w:rsidRPr="00A5748D">
        <w:rPr>
          <w:b/>
          <w:sz w:val="28"/>
          <w:szCs w:val="28"/>
          <w:lang w:val="en"/>
        </w:rPr>
        <w:t>Newsletters</w:t>
      </w:r>
    </w:p>
    <w:p w14:paraId="73F73489" w14:textId="77777777" w:rsidR="00E74B1D" w:rsidRPr="00BD1115" w:rsidRDefault="0016765E" w:rsidP="00BD1115">
      <w:pPr>
        <w:spacing w:before="100" w:beforeAutospacing="1" w:after="120"/>
        <w:rPr>
          <w:rFonts w:cstheme="minorHAnsi"/>
          <w:color w:val="333333"/>
          <w:lang w:val="en"/>
        </w:rPr>
      </w:pPr>
      <w:hyperlink r:id="rId149" w:history="1">
        <w:r w:rsidR="00E74B1D" w:rsidRPr="00BD1115">
          <w:rPr>
            <w:rStyle w:val="Hyperlink"/>
            <w:rFonts w:cstheme="minorHAnsi"/>
            <w:lang w:val="en"/>
          </w:rPr>
          <w:t>HELP newsletters</w:t>
        </w:r>
      </w:hyperlink>
    </w:p>
    <w:p w14:paraId="6DA75C62" w14:textId="0BAD2C3D" w:rsidR="00E74B1D" w:rsidRDefault="0016765E" w:rsidP="00BD1115">
      <w:pPr>
        <w:spacing w:before="100" w:beforeAutospacing="1" w:after="120"/>
        <w:rPr>
          <w:rStyle w:val="Hyperlink"/>
          <w:rFonts w:cstheme="minorHAnsi"/>
          <w:lang w:val="en"/>
        </w:rPr>
      </w:pPr>
      <w:hyperlink r:id="rId150" w:history="1">
        <w:r w:rsidR="00E74B1D" w:rsidRPr="00BD1115">
          <w:rPr>
            <w:rStyle w:val="Hyperlink"/>
            <w:rFonts w:cstheme="minorHAnsi"/>
            <w:lang w:val="en"/>
          </w:rPr>
          <w:t>VET Student Loans Newsletter to Providers - April 2017</w:t>
        </w:r>
      </w:hyperlink>
    </w:p>
    <w:p w14:paraId="0D86D5F6" w14:textId="7FB2D607" w:rsidR="00CF77FB" w:rsidRPr="00CF77FB" w:rsidRDefault="00CF77FB" w:rsidP="00CF77FB">
      <w:pPr>
        <w:spacing w:before="240" w:after="240"/>
        <w:rPr>
          <w:b/>
          <w:sz w:val="28"/>
          <w:szCs w:val="28"/>
        </w:rPr>
      </w:pPr>
      <w:r w:rsidRPr="00CF77FB">
        <w:rPr>
          <w:b/>
          <w:sz w:val="28"/>
          <w:szCs w:val="28"/>
        </w:rPr>
        <w:t>User Guides</w:t>
      </w:r>
    </w:p>
    <w:p w14:paraId="0AC9B70B" w14:textId="17BDCE1B" w:rsidR="00CF77FB" w:rsidRDefault="00CF77FB" w:rsidP="00BD1115">
      <w:pPr>
        <w:spacing w:before="100" w:beforeAutospacing="1" w:after="120"/>
        <w:rPr>
          <w:rStyle w:val="Hyperlink"/>
          <w:rFonts w:cstheme="minorHAnsi"/>
          <w:lang w:val="en"/>
        </w:rPr>
      </w:pPr>
      <w:r>
        <w:rPr>
          <w:rStyle w:val="Hyperlink"/>
          <w:rFonts w:cstheme="minorHAnsi"/>
          <w:lang w:val="en"/>
        </w:rPr>
        <w:t>HITS User Guide</w:t>
      </w:r>
    </w:p>
    <w:p w14:paraId="67988D31" w14:textId="69CE485F" w:rsidR="00CF77FB" w:rsidRDefault="00CF77FB" w:rsidP="00BD1115">
      <w:pPr>
        <w:spacing w:before="100" w:beforeAutospacing="1" w:after="120"/>
        <w:rPr>
          <w:rStyle w:val="Hyperlink"/>
          <w:rFonts w:cstheme="minorHAnsi"/>
          <w:lang w:val="en"/>
        </w:rPr>
      </w:pPr>
      <w:r>
        <w:rPr>
          <w:rStyle w:val="Hyperlink"/>
          <w:rFonts w:cstheme="minorHAnsi"/>
          <w:lang w:val="en"/>
        </w:rPr>
        <w:t>eCAF User Guide (available within the eCAF system)</w:t>
      </w:r>
    </w:p>
    <w:p w14:paraId="29BB53EF" w14:textId="176EE020" w:rsidR="00F80052" w:rsidRDefault="00F80052" w:rsidP="00BD1115">
      <w:pPr>
        <w:spacing w:before="100" w:beforeAutospacing="1" w:after="120"/>
        <w:rPr>
          <w:rStyle w:val="Hyperlink"/>
          <w:rFonts w:cstheme="minorHAnsi"/>
          <w:lang w:val="en"/>
        </w:rPr>
      </w:pPr>
      <w:r>
        <w:rPr>
          <w:rStyle w:val="Hyperlink"/>
          <w:rFonts w:cstheme="minorHAnsi"/>
          <w:lang w:val="en"/>
        </w:rPr>
        <w:t>Information</w:t>
      </w:r>
    </w:p>
    <w:p w14:paraId="1398F429" w14:textId="252FA290" w:rsidR="00F80052" w:rsidRDefault="00F80052" w:rsidP="00BD1115">
      <w:pPr>
        <w:spacing w:before="100" w:beforeAutospacing="1" w:after="120"/>
        <w:rPr>
          <w:rFonts w:cstheme="minorHAnsi"/>
          <w:color w:val="333333"/>
          <w:lang w:val="en"/>
        </w:rPr>
      </w:pPr>
      <w:r w:rsidRPr="00F80052">
        <w:rPr>
          <w:rFonts w:cstheme="minorHAnsi"/>
          <w:b/>
          <w:color w:val="333333"/>
          <w:lang w:val="en"/>
        </w:rPr>
        <w:t>Compliance</w:t>
      </w:r>
      <w:r>
        <w:rPr>
          <w:rFonts w:cstheme="minorHAnsi"/>
          <w:color w:val="333333"/>
          <w:lang w:val="en"/>
        </w:rPr>
        <w:t xml:space="preserve">:  </w:t>
      </w:r>
      <w:hyperlink r:id="rId151" w:history="1">
        <w:r w:rsidRPr="00515E2C">
          <w:rPr>
            <w:rStyle w:val="Hyperlink"/>
            <w:rFonts w:cstheme="minorHAnsi"/>
            <w:lang w:val="en"/>
          </w:rPr>
          <w:t>www.education.gov.au/vet-student-loans-and-vet-fee-help-compliance-0</w:t>
        </w:r>
      </w:hyperlink>
      <w:r>
        <w:rPr>
          <w:rFonts w:cstheme="minorHAnsi"/>
          <w:color w:val="333333"/>
          <w:lang w:val="en"/>
        </w:rPr>
        <w:t xml:space="preserve"> </w:t>
      </w:r>
    </w:p>
    <w:p w14:paraId="2F7C2204" w14:textId="70AAB7DA" w:rsidR="00F80052" w:rsidRDefault="00F80052" w:rsidP="00BD1115">
      <w:pPr>
        <w:spacing w:before="100" w:beforeAutospacing="1" w:after="120"/>
        <w:rPr>
          <w:rFonts w:cstheme="minorHAnsi"/>
          <w:color w:val="333333"/>
          <w:lang w:val="en"/>
        </w:rPr>
      </w:pPr>
      <w:r w:rsidRPr="00F80052">
        <w:rPr>
          <w:rFonts w:cstheme="minorHAnsi"/>
          <w:b/>
          <w:color w:val="333333"/>
          <w:lang w:val="en"/>
        </w:rPr>
        <w:t>LLN assessment tool information</w:t>
      </w:r>
      <w:r>
        <w:rPr>
          <w:rFonts w:cstheme="minorHAnsi"/>
          <w:color w:val="333333"/>
          <w:lang w:val="en"/>
        </w:rPr>
        <w:t xml:space="preserve">:  </w:t>
      </w:r>
      <w:hyperlink r:id="rId152" w:history="1">
        <w:r w:rsidRPr="00515E2C">
          <w:rPr>
            <w:rStyle w:val="Hyperlink"/>
            <w:rFonts w:cstheme="minorHAnsi"/>
            <w:lang w:val="en"/>
          </w:rPr>
          <w:t>www.education.gov.au/language-literacy-and-numeracy-lln-assessment-tool-information</w:t>
        </w:r>
      </w:hyperlink>
      <w:r>
        <w:rPr>
          <w:rFonts w:cstheme="minorHAnsi"/>
          <w:color w:val="333333"/>
          <w:lang w:val="en"/>
        </w:rPr>
        <w:t xml:space="preserve"> </w:t>
      </w:r>
    </w:p>
    <w:p w14:paraId="605C0CFF" w14:textId="23795236" w:rsidR="00F80052" w:rsidRPr="00BD1115" w:rsidRDefault="00F80052" w:rsidP="00BD1115">
      <w:pPr>
        <w:spacing w:before="100" w:beforeAutospacing="1" w:after="120"/>
        <w:rPr>
          <w:rFonts w:cstheme="minorHAnsi"/>
          <w:color w:val="333333"/>
          <w:lang w:val="en"/>
        </w:rPr>
      </w:pPr>
      <w:r w:rsidRPr="00F80052">
        <w:rPr>
          <w:rFonts w:cstheme="minorHAnsi"/>
          <w:b/>
          <w:color w:val="333333"/>
          <w:lang w:val="en"/>
        </w:rPr>
        <w:t>Tuition assurance</w:t>
      </w:r>
      <w:r>
        <w:rPr>
          <w:rFonts w:cstheme="minorHAnsi"/>
          <w:color w:val="333333"/>
          <w:lang w:val="en"/>
        </w:rPr>
        <w:t xml:space="preserve">:  </w:t>
      </w:r>
      <w:hyperlink r:id="rId153" w:history="1">
        <w:r w:rsidRPr="00515E2C">
          <w:rPr>
            <w:rStyle w:val="Hyperlink"/>
            <w:rFonts w:cstheme="minorHAnsi"/>
            <w:lang w:val="en"/>
          </w:rPr>
          <w:t>www.education.gov.au/tuition-assurance-and-provider-closures</w:t>
        </w:r>
      </w:hyperlink>
      <w:r>
        <w:rPr>
          <w:rFonts w:cstheme="minorHAnsi"/>
          <w:color w:val="333333"/>
          <w:lang w:val="en"/>
        </w:rPr>
        <w:t xml:space="preserve"> </w:t>
      </w:r>
    </w:p>
    <w:sectPr w:rsidR="00F80052" w:rsidRPr="00BD1115" w:rsidSect="00755E6A">
      <w:headerReference w:type="default" r:id="rId154"/>
      <w:footerReference w:type="default" r:id="rId155"/>
      <w:footerReference w:type="first" r:id="rId156"/>
      <w:type w:val="continuous"/>
      <w:pgSz w:w="11907" w:h="16840" w:code="9"/>
      <w:pgMar w:top="1440" w:right="1276" w:bottom="1276" w:left="1440" w:header="0"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E677" w14:textId="77777777" w:rsidR="0016765E" w:rsidRDefault="0016765E">
      <w:pPr>
        <w:spacing w:after="0"/>
      </w:pPr>
      <w:r>
        <w:separator/>
      </w:r>
    </w:p>
  </w:endnote>
  <w:endnote w:type="continuationSeparator" w:id="0">
    <w:p w14:paraId="63E69CA8" w14:textId="77777777" w:rsidR="0016765E" w:rsidRDefault="00167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59"/>
    <w:family w:val="auto"/>
    <w:pitch w:val="variable"/>
    <w:sig w:usb0="00000203" w:usb1="00000000" w:usb2="00000000" w:usb3="00000000" w:csb0="00000005"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BBBB" w14:textId="77777777" w:rsidR="0012240F" w:rsidRDefault="0012240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BB5E" w14:textId="2745DC9A" w:rsidR="0012240F" w:rsidRDefault="0012240F" w:rsidP="005F300B">
    <w:pPr>
      <w:pStyle w:val="Footer"/>
      <w:tabs>
        <w:tab w:val="left" w:pos="5162"/>
        <w:tab w:val="right" w:pos="14884"/>
      </w:tabs>
      <w:spacing w:before="320"/>
      <w:jc w:val="right"/>
    </w:pPr>
    <w:r>
      <w:tab/>
    </w:r>
    <w:r w:rsidRPr="00721254">
      <w:rPr>
        <w:b/>
        <w:noProof/>
        <w:lang w:eastAsia="en-AU"/>
      </w:rPr>
      <w:drawing>
        <wp:anchor distT="0" distB="0" distL="114300" distR="114300" simplePos="0" relativeHeight="251658752" behindDoc="1" locked="0" layoutInCell="1" allowOverlap="1" wp14:anchorId="5CB17CC5" wp14:editId="200C6EB4">
          <wp:simplePos x="0" y="0"/>
          <wp:positionH relativeFrom="column">
            <wp:posOffset>-810260</wp:posOffset>
          </wp:positionH>
          <wp:positionV relativeFrom="paragraph">
            <wp:posOffset>6614</wp:posOffset>
          </wp:positionV>
          <wp:extent cx="10713720" cy="491490"/>
          <wp:effectExtent l="0" t="0" r="0" b="381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L Landscape footer.jpg"/>
                  <pic:cNvPicPr/>
                </pic:nvPicPr>
                <pic:blipFill>
                  <a:blip r:embed="rId1">
                    <a:extLst>
                      <a:ext uri="{28A0092B-C50C-407E-A947-70E740481C1C}">
                        <a14:useLocalDpi xmlns:a14="http://schemas.microsoft.com/office/drawing/2010/main" val="0"/>
                      </a:ext>
                    </a:extLst>
                  </a:blip>
                  <a:stretch>
                    <a:fillRect/>
                  </a:stretch>
                </pic:blipFill>
                <pic:spPr>
                  <a:xfrm>
                    <a:off x="0" y="0"/>
                    <a:ext cx="10713720" cy="491490"/>
                  </a:xfrm>
                  <a:prstGeom prst="rect">
                    <a:avLst/>
                  </a:prstGeom>
                </pic:spPr>
              </pic:pic>
            </a:graphicData>
          </a:graphic>
          <wp14:sizeRelH relativeFrom="page">
            <wp14:pctWidth>0</wp14:pctWidth>
          </wp14:sizeRelH>
          <wp14:sizeRelV relativeFrom="page">
            <wp14:pctHeight>0</wp14:pctHeight>
          </wp14:sizeRelV>
        </wp:anchor>
      </w:drawing>
    </w:r>
    <w:r w:rsidRPr="00721254">
      <w:rPr>
        <w:b/>
        <w:noProof/>
        <w:lang w:eastAsia="en-AU"/>
      </w:rPr>
      <w:drawing>
        <wp:anchor distT="0" distB="0" distL="114300" distR="114300" simplePos="0" relativeHeight="251662848" behindDoc="1" locked="0" layoutInCell="1" allowOverlap="1" wp14:anchorId="17FFC0C4" wp14:editId="4992DCB8">
          <wp:simplePos x="0" y="0"/>
          <wp:positionH relativeFrom="column">
            <wp:posOffset>-655955</wp:posOffset>
          </wp:positionH>
          <wp:positionV relativeFrom="paragraph">
            <wp:posOffset>2799715</wp:posOffset>
          </wp:positionV>
          <wp:extent cx="7559675" cy="636905"/>
          <wp:effectExtent l="0" t="0" r="3175" b="0"/>
          <wp:wrapNone/>
          <wp:docPr id="334" name="Picture 334"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rPr>
      <w:t xml:space="preserve">VET Student Loans </w:t>
    </w:r>
    <w:r w:rsidRPr="00721254">
      <w:rPr>
        <w:rFonts w:cstheme="minorHAnsi"/>
        <w:b/>
      </w:rPr>
      <w:t>|</w:t>
    </w:r>
    <w:r w:rsidRPr="00721254">
      <w:rPr>
        <w:b/>
      </w:rPr>
      <w:t xml:space="preserve"> Manual for Providers </w:t>
    </w:r>
    <w:r w:rsidRPr="00721254">
      <w:rPr>
        <w:rFonts w:cstheme="minorHAnsi"/>
        <w:b/>
      </w:rPr>
      <w:t>|</w:t>
    </w:r>
    <w:r w:rsidRPr="00721254">
      <w:rPr>
        <w:b/>
      </w:rPr>
      <w:t xml:space="preserve"> Version </w:t>
    </w:r>
    <w:r>
      <w:rPr>
        <w:b/>
      </w:rPr>
      <w:t>2.0</w:t>
    </w:r>
    <w:r w:rsidRPr="00721254">
      <w:rPr>
        <w:b/>
      </w:rPr>
      <w:t xml:space="preserve">- </w:t>
    </w:r>
    <w:r>
      <w:rPr>
        <w:b/>
      </w:rPr>
      <w:t xml:space="preserve">December </w:t>
    </w:r>
    <w:r w:rsidRPr="00721254">
      <w:rPr>
        <w:b/>
      </w:rPr>
      <w:t xml:space="preserve">2017 </w:t>
    </w:r>
    <w:r w:rsidRPr="00721254">
      <w:rPr>
        <w:rFonts w:cstheme="minorHAnsi"/>
        <w:b/>
      </w:rPr>
      <w:t>|</w:t>
    </w:r>
    <w:r w:rsidRPr="00721254">
      <w:rPr>
        <w:b/>
      </w:rPr>
      <w:t xml:space="preserve">  </w:t>
    </w:r>
    <w:sdt>
      <w:sdtPr>
        <w:rPr>
          <w:b/>
        </w:rPr>
        <w:id w:val="1475866855"/>
        <w:docPartObj>
          <w:docPartGallery w:val="Page Numbers (Bottom of Page)"/>
          <w:docPartUnique/>
        </w:docPartObj>
      </w:sdtPr>
      <w:sdtEndPr>
        <w:rPr>
          <w:b w:val="0"/>
          <w:noProof/>
        </w:rPr>
      </w:sdtEndPr>
      <w:sdtContent>
        <w:r w:rsidRPr="00721254">
          <w:rPr>
            <w:b/>
          </w:rPr>
          <w:fldChar w:fldCharType="begin"/>
        </w:r>
        <w:r w:rsidRPr="00721254">
          <w:rPr>
            <w:b/>
          </w:rPr>
          <w:instrText xml:space="preserve"> PAGE   \* MERGEFORMAT </w:instrText>
        </w:r>
        <w:r w:rsidRPr="00721254">
          <w:rPr>
            <w:b/>
          </w:rPr>
          <w:fldChar w:fldCharType="separate"/>
        </w:r>
        <w:r w:rsidR="00D6049E">
          <w:rPr>
            <w:b/>
            <w:noProof/>
          </w:rPr>
          <w:t>109</w:t>
        </w:r>
        <w:r w:rsidRPr="00721254">
          <w:rPr>
            <w:b/>
            <w:noProof/>
          </w:rPr>
          <w:fldChar w:fldCharType="end"/>
        </w:r>
      </w:sdtContent>
    </w:sdt>
  </w:p>
  <w:p w14:paraId="5DD7AE48" w14:textId="77777777" w:rsidR="0012240F" w:rsidRPr="00647908" w:rsidRDefault="0012240F" w:rsidP="005F300B">
    <w:pPr>
      <w:rPr>
        <w:b/>
        <w:color w:val="00B0F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500B" w14:textId="69B325ED" w:rsidR="0012240F" w:rsidRDefault="0012240F" w:rsidP="005F300B">
    <w:pPr>
      <w:pStyle w:val="Footer"/>
      <w:tabs>
        <w:tab w:val="clear" w:pos="9026"/>
        <w:tab w:val="right" w:pos="8647"/>
      </w:tabs>
      <w:ind w:firstLine="720"/>
      <w:jc w:val="right"/>
    </w:pPr>
    <w:r>
      <w:rPr>
        <w:noProof/>
        <w:lang w:eastAsia="en-AU"/>
      </w:rPr>
      <w:drawing>
        <wp:anchor distT="0" distB="0" distL="114300" distR="114300" simplePos="0" relativeHeight="251649536" behindDoc="1" locked="0" layoutInCell="1" allowOverlap="1" wp14:anchorId="222A5D8E" wp14:editId="4E53DAD7">
          <wp:simplePos x="0" y="0"/>
          <wp:positionH relativeFrom="column">
            <wp:posOffset>-987729</wp:posOffset>
          </wp:positionH>
          <wp:positionV relativeFrom="paragraph">
            <wp:posOffset>-117475</wp:posOffset>
          </wp:positionV>
          <wp:extent cx="7559675" cy="636905"/>
          <wp:effectExtent l="0" t="0" r="3175" b="0"/>
          <wp:wrapNone/>
          <wp:docPr id="19" name="Picture 19"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VET Student Loans </w:t>
    </w:r>
    <w:r>
      <w:rPr>
        <w:rFonts w:cstheme="minorHAnsi"/>
      </w:rPr>
      <w:t>|</w:t>
    </w:r>
    <w:r>
      <w:t>Manual for Providers</w:t>
    </w:r>
    <w:r>
      <w:rPr>
        <w:rFonts w:cstheme="minorHAnsi"/>
      </w:rPr>
      <w:t>|</w:t>
    </w:r>
    <w:r>
      <w:t xml:space="preserve"> Version 2.0 – December 2017 </w:t>
    </w:r>
    <w:r>
      <w:rPr>
        <w:rFonts w:cstheme="minorHAnsi"/>
      </w:rPr>
      <w:t xml:space="preserve">| </w:t>
    </w:r>
    <w:sdt>
      <w:sdtPr>
        <w:id w:val="638927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049E">
          <w:rPr>
            <w:noProof/>
          </w:rPr>
          <w:t>111</w:t>
        </w:r>
        <w:r>
          <w:rPr>
            <w:noProof/>
          </w:rPr>
          <w:fldChar w:fldCharType="end"/>
        </w:r>
      </w:sdtContent>
    </w:sdt>
  </w:p>
  <w:p w14:paraId="2DD67A8F" w14:textId="77777777" w:rsidR="0012240F" w:rsidRDefault="0012240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00F2" w14:textId="54258552" w:rsidR="0012240F" w:rsidRPr="00721254" w:rsidRDefault="0012240F" w:rsidP="005F300B">
    <w:pPr>
      <w:pStyle w:val="Footer"/>
      <w:tabs>
        <w:tab w:val="clear" w:pos="4513"/>
        <w:tab w:val="clear" w:pos="9026"/>
        <w:tab w:val="right" w:pos="14884"/>
      </w:tabs>
      <w:jc w:val="right"/>
      <w:rPr>
        <w:b/>
      </w:rPr>
    </w:pPr>
    <w:r w:rsidRPr="00721254">
      <w:rPr>
        <w:b/>
        <w:noProof/>
        <w:lang w:eastAsia="en-AU"/>
      </w:rPr>
      <w:drawing>
        <wp:anchor distT="0" distB="0" distL="114300" distR="114300" simplePos="0" relativeHeight="251650560" behindDoc="1" locked="0" layoutInCell="1" allowOverlap="1" wp14:anchorId="01FF442C" wp14:editId="38E70C33">
          <wp:simplePos x="0" y="0"/>
          <wp:positionH relativeFrom="column">
            <wp:posOffset>-916676</wp:posOffset>
          </wp:positionH>
          <wp:positionV relativeFrom="paragraph">
            <wp:posOffset>-123190</wp:posOffset>
          </wp:positionV>
          <wp:extent cx="7559675" cy="636905"/>
          <wp:effectExtent l="0" t="0" r="3175" b="0"/>
          <wp:wrapNone/>
          <wp:docPr id="20" name="Picture 20"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noProof/>
        <w:lang w:eastAsia="en-AU"/>
      </w:rPr>
      <w:drawing>
        <wp:anchor distT="0" distB="0" distL="114300" distR="114300" simplePos="0" relativeHeight="251656704" behindDoc="1" locked="0" layoutInCell="1" allowOverlap="1" wp14:anchorId="12CBCD8F" wp14:editId="2F99A6F0">
          <wp:simplePos x="0" y="0"/>
          <wp:positionH relativeFrom="column">
            <wp:posOffset>-655955</wp:posOffset>
          </wp:positionH>
          <wp:positionV relativeFrom="paragraph">
            <wp:posOffset>2799715</wp:posOffset>
          </wp:positionV>
          <wp:extent cx="7559675" cy="636905"/>
          <wp:effectExtent l="0" t="0" r="3175" b="0"/>
          <wp:wrapNone/>
          <wp:docPr id="25" name="Picture 25"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rPr>
      <w:t xml:space="preserve">VET Student Loans </w:t>
    </w:r>
    <w:r w:rsidRPr="00721254">
      <w:rPr>
        <w:rFonts w:cstheme="minorHAnsi"/>
        <w:b/>
      </w:rPr>
      <w:t>|</w:t>
    </w:r>
    <w:r w:rsidRPr="00721254">
      <w:rPr>
        <w:b/>
      </w:rPr>
      <w:t xml:space="preserve"> Manual for Providers </w:t>
    </w:r>
    <w:r w:rsidRPr="00721254">
      <w:rPr>
        <w:rFonts w:cstheme="minorHAnsi"/>
        <w:b/>
      </w:rPr>
      <w:t>|</w:t>
    </w:r>
    <w:r w:rsidRPr="00721254">
      <w:rPr>
        <w:b/>
      </w:rPr>
      <w:t xml:space="preserve"> Version </w:t>
    </w:r>
    <w:r>
      <w:rPr>
        <w:b/>
      </w:rPr>
      <w:t>2.0 December 2017</w:t>
    </w:r>
    <w:r w:rsidRPr="00721254">
      <w:rPr>
        <w:b/>
      </w:rPr>
      <w:t xml:space="preserve"> </w:t>
    </w:r>
    <w:r w:rsidRPr="00721254">
      <w:rPr>
        <w:rFonts w:cstheme="minorHAnsi"/>
        <w:b/>
      </w:rPr>
      <w:t>|</w:t>
    </w:r>
    <w:r w:rsidRPr="00721254">
      <w:rPr>
        <w:b/>
      </w:rPr>
      <w:t xml:space="preserve">  </w:t>
    </w:r>
    <w:sdt>
      <w:sdtPr>
        <w:rPr>
          <w:b/>
        </w:rPr>
        <w:id w:val="-1707019644"/>
        <w:docPartObj>
          <w:docPartGallery w:val="Page Numbers (Bottom of Page)"/>
          <w:docPartUnique/>
        </w:docPartObj>
      </w:sdtPr>
      <w:sdtEndPr>
        <w:rPr>
          <w:noProof/>
        </w:rPr>
      </w:sdtEndPr>
      <w:sdtContent>
        <w:r w:rsidRPr="00721254">
          <w:rPr>
            <w:b/>
          </w:rPr>
          <w:fldChar w:fldCharType="begin"/>
        </w:r>
        <w:r w:rsidRPr="00721254">
          <w:rPr>
            <w:b/>
          </w:rPr>
          <w:instrText xml:space="preserve"> PAGE   \* MERGEFORMAT </w:instrText>
        </w:r>
        <w:r w:rsidRPr="00721254">
          <w:rPr>
            <w:b/>
          </w:rPr>
          <w:fldChar w:fldCharType="separate"/>
        </w:r>
        <w:r w:rsidR="00D6049E">
          <w:rPr>
            <w:b/>
            <w:noProof/>
          </w:rPr>
          <w:t>110</w:t>
        </w:r>
        <w:r w:rsidRPr="00721254">
          <w:rPr>
            <w:b/>
            <w:noProof/>
          </w:rPr>
          <w:fldChar w:fldCharType="end"/>
        </w:r>
      </w:sdtContent>
    </w:sdt>
  </w:p>
  <w:p w14:paraId="48764132" w14:textId="77777777" w:rsidR="0012240F" w:rsidRDefault="001224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6E64" w14:textId="2B94599D" w:rsidR="0012240F" w:rsidRPr="00721254" w:rsidRDefault="0012240F" w:rsidP="005F300B">
    <w:pPr>
      <w:pStyle w:val="Footer"/>
      <w:tabs>
        <w:tab w:val="clear" w:pos="4513"/>
        <w:tab w:val="clear" w:pos="9026"/>
        <w:tab w:val="right" w:pos="14884"/>
      </w:tabs>
      <w:jc w:val="right"/>
      <w:rPr>
        <w:b/>
      </w:rPr>
    </w:pPr>
    <w:r w:rsidRPr="00721254">
      <w:rPr>
        <w:b/>
        <w:noProof/>
        <w:lang w:eastAsia="en-AU"/>
      </w:rPr>
      <w:drawing>
        <wp:anchor distT="0" distB="0" distL="114300" distR="114300" simplePos="0" relativeHeight="251651584" behindDoc="1" locked="0" layoutInCell="1" allowOverlap="1" wp14:anchorId="393E9768" wp14:editId="31434C92">
          <wp:simplePos x="0" y="0"/>
          <wp:positionH relativeFrom="column">
            <wp:posOffset>-912799</wp:posOffset>
          </wp:positionH>
          <wp:positionV relativeFrom="paragraph">
            <wp:posOffset>-124460</wp:posOffset>
          </wp:positionV>
          <wp:extent cx="7559675" cy="636905"/>
          <wp:effectExtent l="0" t="0" r="3175" b="0"/>
          <wp:wrapNone/>
          <wp:docPr id="2" name="Picture 2"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rPr>
      <w:t xml:space="preserve">VET Student Loans </w:t>
    </w:r>
    <w:r w:rsidRPr="00721254">
      <w:rPr>
        <w:rFonts w:cstheme="minorHAnsi"/>
        <w:b/>
      </w:rPr>
      <w:t>|</w:t>
    </w:r>
    <w:r w:rsidRPr="00721254">
      <w:rPr>
        <w:b/>
      </w:rPr>
      <w:t xml:space="preserve"> Manual for Providers </w:t>
    </w:r>
    <w:r w:rsidRPr="00721254">
      <w:rPr>
        <w:rFonts w:cstheme="minorHAnsi"/>
        <w:b/>
      </w:rPr>
      <w:t>|</w:t>
    </w:r>
    <w:r w:rsidRPr="00721254">
      <w:rPr>
        <w:b/>
      </w:rPr>
      <w:t xml:space="preserve"> Version 1.</w:t>
    </w:r>
    <w:r>
      <w:rPr>
        <w:b/>
      </w:rPr>
      <w:t>3</w:t>
    </w:r>
    <w:r w:rsidRPr="00721254">
      <w:rPr>
        <w:b/>
      </w:rPr>
      <w:t xml:space="preserve"> - </w:t>
    </w:r>
    <w:r>
      <w:rPr>
        <w:b/>
      </w:rPr>
      <w:t>October</w:t>
    </w:r>
    <w:r w:rsidRPr="00721254">
      <w:rPr>
        <w:b/>
      </w:rPr>
      <w:t xml:space="preserve"> 2017 </w:t>
    </w:r>
    <w:r w:rsidRPr="00721254">
      <w:rPr>
        <w:rFonts w:cstheme="minorHAnsi"/>
        <w:b/>
      </w:rPr>
      <w:t xml:space="preserve">| </w:t>
    </w:r>
    <w:sdt>
      <w:sdtPr>
        <w:rPr>
          <w:b/>
        </w:rPr>
        <w:id w:val="-82535671"/>
        <w:docPartObj>
          <w:docPartGallery w:val="Page Numbers (Bottom of Page)"/>
          <w:docPartUnique/>
        </w:docPartObj>
      </w:sdtPr>
      <w:sdtEndPr>
        <w:rPr>
          <w:noProof/>
        </w:rPr>
      </w:sdtEndPr>
      <w:sdtContent>
        <w:r w:rsidRPr="00721254">
          <w:rPr>
            <w:b/>
          </w:rPr>
          <w:fldChar w:fldCharType="begin"/>
        </w:r>
        <w:r w:rsidRPr="00721254">
          <w:rPr>
            <w:b/>
          </w:rPr>
          <w:instrText xml:space="preserve"> PAGE   \* MERGEFORMAT </w:instrText>
        </w:r>
        <w:r w:rsidRPr="00721254">
          <w:rPr>
            <w:b/>
          </w:rPr>
          <w:fldChar w:fldCharType="separate"/>
        </w:r>
        <w:r w:rsidR="00D6049E">
          <w:rPr>
            <w:b/>
            <w:noProof/>
          </w:rPr>
          <w:t>2</w:t>
        </w:r>
        <w:r w:rsidRPr="00721254">
          <w:rPr>
            <w:b/>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37C1" w14:textId="6FA7A765" w:rsidR="0012240F" w:rsidRDefault="0012240F" w:rsidP="005F300B">
    <w:pPr>
      <w:pStyle w:val="Footer"/>
      <w:tabs>
        <w:tab w:val="left" w:pos="5162"/>
        <w:tab w:val="right" w:pos="14884"/>
      </w:tabs>
      <w:spacing w:before="320"/>
      <w:jc w:val="right"/>
    </w:pPr>
    <w:r>
      <w:rPr>
        <w:noProof/>
        <w:lang w:eastAsia="en-AU"/>
      </w:rPr>
      <w:drawing>
        <wp:anchor distT="0" distB="0" distL="114300" distR="114300" simplePos="0" relativeHeight="251663872" behindDoc="1" locked="0" layoutInCell="1" allowOverlap="1" wp14:anchorId="7DDD4F88" wp14:editId="2E411416">
          <wp:simplePos x="0" y="0"/>
          <wp:positionH relativeFrom="column">
            <wp:posOffset>-655955</wp:posOffset>
          </wp:positionH>
          <wp:positionV relativeFrom="paragraph">
            <wp:posOffset>2799715</wp:posOffset>
          </wp:positionV>
          <wp:extent cx="7559675" cy="636905"/>
          <wp:effectExtent l="0" t="0" r="3175" b="0"/>
          <wp:wrapNone/>
          <wp:docPr id="8" name="Picture 8"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VET Student Loans </w:t>
    </w:r>
    <w:r>
      <w:rPr>
        <w:rFonts w:cstheme="minorHAnsi"/>
      </w:rPr>
      <w:t>|</w:t>
    </w:r>
    <w:r>
      <w:t xml:space="preserve"> Manual for Providers </w:t>
    </w:r>
    <w:r>
      <w:rPr>
        <w:rFonts w:cstheme="minorHAnsi"/>
      </w:rPr>
      <w:t>|</w:t>
    </w:r>
    <w:r>
      <w:t xml:space="preserve"> Version 1- May 2017 </w:t>
    </w:r>
    <w:r>
      <w:rPr>
        <w:rFonts w:cstheme="minorHAnsi"/>
      </w:rPr>
      <w:t>|</w:t>
    </w:r>
    <w:r>
      <w:t xml:space="preserve">  </w:t>
    </w:r>
    <w:sdt>
      <w:sdtPr>
        <w:id w:val="-1205380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049E">
          <w:rPr>
            <w:noProof/>
          </w:rPr>
          <w:t>1</w:t>
        </w:r>
        <w:r>
          <w:rPr>
            <w:noProof/>
          </w:rPr>
          <w:fldChar w:fldCharType="end"/>
        </w:r>
      </w:sdtContent>
    </w:sdt>
  </w:p>
  <w:p w14:paraId="3E34AC6C" w14:textId="77777777" w:rsidR="0012240F" w:rsidRDefault="0012240F" w:rsidP="0028499D">
    <w:pPr>
      <w:pStyle w:val="Footer"/>
      <w:ind w:firstLine="720"/>
    </w:pPr>
  </w:p>
  <w:p w14:paraId="05C785C0" w14:textId="77777777" w:rsidR="0012240F" w:rsidRDefault="001224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C8CF" w14:textId="384AE1E4" w:rsidR="0012240F" w:rsidRPr="00721254" w:rsidRDefault="0012240F" w:rsidP="005F300B">
    <w:pPr>
      <w:pStyle w:val="Footer"/>
      <w:tabs>
        <w:tab w:val="clear" w:pos="4513"/>
        <w:tab w:val="clear" w:pos="9026"/>
        <w:tab w:val="right" w:pos="14884"/>
      </w:tabs>
      <w:jc w:val="right"/>
      <w:rPr>
        <w:b/>
      </w:rPr>
    </w:pPr>
    <w:r w:rsidRPr="00721254">
      <w:rPr>
        <w:b/>
        <w:noProof/>
        <w:lang w:eastAsia="en-AU"/>
      </w:rPr>
      <w:drawing>
        <wp:anchor distT="0" distB="0" distL="114300" distR="114300" simplePos="0" relativeHeight="251661312" behindDoc="1" locked="0" layoutInCell="1" allowOverlap="1" wp14:anchorId="11AC5741" wp14:editId="1B9C0220">
          <wp:simplePos x="0" y="0"/>
          <wp:positionH relativeFrom="column">
            <wp:posOffset>-912799</wp:posOffset>
          </wp:positionH>
          <wp:positionV relativeFrom="paragraph">
            <wp:posOffset>-124460</wp:posOffset>
          </wp:positionV>
          <wp:extent cx="7559675" cy="636905"/>
          <wp:effectExtent l="0" t="0" r="3175" b="0"/>
          <wp:wrapNone/>
          <wp:docPr id="335" name="Picture 335"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rPr>
      <w:t xml:space="preserve">VET Student Loans </w:t>
    </w:r>
    <w:r w:rsidRPr="00721254">
      <w:rPr>
        <w:rFonts w:cstheme="minorHAnsi"/>
        <w:b/>
      </w:rPr>
      <w:t>|</w:t>
    </w:r>
    <w:r w:rsidRPr="00721254">
      <w:rPr>
        <w:b/>
      </w:rPr>
      <w:t xml:space="preserve"> Manual for Providers </w:t>
    </w:r>
    <w:r w:rsidRPr="00721254">
      <w:rPr>
        <w:rFonts w:cstheme="minorHAnsi"/>
        <w:b/>
      </w:rPr>
      <w:t>|</w:t>
    </w:r>
    <w:r w:rsidRPr="00721254">
      <w:rPr>
        <w:b/>
      </w:rPr>
      <w:t xml:space="preserve"> Version </w:t>
    </w:r>
    <w:r>
      <w:rPr>
        <w:b/>
      </w:rPr>
      <w:t>2.0</w:t>
    </w:r>
    <w:r w:rsidRPr="00721254">
      <w:rPr>
        <w:b/>
      </w:rPr>
      <w:t xml:space="preserve"> - </w:t>
    </w:r>
    <w:r>
      <w:rPr>
        <w:b/>
      </w:rPr>
      <w:t>December</w:t>
    </w:r>
    <w:r w:rsidRPr="00721254">
      <w:rPr>
        <w:b/>
      </w:rPr>
      <w:t xml:space="preserve"> 2017 </w:t>
    </w:r>
    <w:r w:rsidRPr="00721254">
      <w:rPr>
        <w:rFonts w:cstheme="minorHAnsi"/>
        <w:b/>
      </w:rPr>
      <w:t xml:space="preserve">| </w:t>
    </w:r>
    <w:sdt>
      <w:sdtPr>
        <w:rPr>
          <w:b/>
        </w:rPr>
        <w:id w:val="2097587046"/>
        <w:docPartObj>
          <w:docPartGallery w:val="Page Numbers (Bottom of Page)"/>
          <w:docPartUnique/>
        </w:docPartObj>
      </w:sdtPr>
      <w:sdtEndPr>
        <w:rPr>
          <w:noProof/>
        </w:rPr>
      </w:sdtEndPr>
      <w:sdtContent>
        <w:r w:rsidRPr="00721254">
          <w:rPr>
            <w:b/>
          </w:rPr>
          <w:fldChar w:fldCharType="begin"/>
        </w:r>
        <w:r w:rsidRPr="00721254">
          <w:rPr>
            <w:b/>
          </w:rPr>
          <w:instrText xml:space="preserve"> PAGE   \* MERGEFORMAT </w:instrText>
        </w:r>
        <w:r w:rsidRPr="00721254">
          <w:rPr>
            <w:b/>
          </w:rPr>
          <w:fldChar w:fldCharType="separate"/>
        </w:r>
        <w:r w:rsidR="00D6049E">
          <w:rPr>
            <w:b/>
            <w:noProof/>
          </w:rPr>
          <w:t>21</w:t>
        </w:r>
        <w:r w:rsidRPr="00721254">
          <w:rPr>
            <w:b/>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2A88" w14:textId="003780A7" w:rsidR="0012240F" w:rsidRDefault="0012240F" w:rsidP="005F300B">
    <w:pPr>
      <w:pStyle w:val="Footer"/>
      <w:tabs>
        <w:tab w:val="left" w:pos="5162"/>
        <w:tab w:val="right" w:pos="14884"/>
      </w:tabs>
      <w:spacing w:before="320"/>
      <w:jc w:val="right"/>
    </w:pPr>
    <w:r>
      <w:rPr>
        <w:noProof/>
        <w:lang w:eastAsia="en-AU"/>
      </w:rPr>
      <w:drawing>
        <wp:anchor distT="0" distB="0" distL="114300" distR="114300" simplePos="0" relativeHeight="251663360" behindDoc="1" locked="0" layoutInCell="1" allowOverlap="1" wp14:anchorId="4B0A513A" wp14:editId="65DB0279">
          <wp:simplePos x="0" y="0"/>
          <wp:positionH relativeFrom="column">
            <wp:posOffset>-655955</wp:posOffset>
          </wp:positionH>
          <wp:positionV relativeFrom="paragraph">
            <wp:posOffset>2799715</wp:posOffset>
          </wp:positionV>
          <wp:extent cx="7559675" cy="636905"/>
          <wp:effectExtent l="0" t="0" r="3175" b="0"/>
          <wp:wrapNone/>
          <wp:docPr id="336" name="Picture 336"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VET Student Loans </w:t>
    </w:r>
    <w:r>
      <w:rPr>
        <w:rFonts w:cstheme="minorHAnsi"/>
      </w:rPr>
      <w:t>|</w:t>
    </w:r>
    <w:r>
      <w:t xml:space="preserve"> Manual for Providers </w:t>
    </w:r>
    <w:r>
      <w:rPr>
        <w:rFonts w:cstheme="minorHAnsi"/>
      </w:rPr>
      <w:t>|</w:t>
    </w:r>
    <w:r>
      <w:t xml:space="preserve"> Version 1- May 2017 </w:t>
    </w:r>
    <w:r>
      <w:rPr>
        <w:rFonts w:cstheme="minorHAnsi"/>
      </w:rPr>
      <w:t>|</w:t>
    </w:r>
    <w:r>
      <w:t xml:space="preserve">  </w:t>
    </w:r>
    <w:sdt>
      <w:sdtPr>
        <w:id w:val="-6906766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049E">
          <w:rPr>
            <w:noProof/>
          </w:rPr>
          <w:t>9</w:t>
        </w:r>
        <w:r>
          <w:rPr>
            <w:noProof/>
          </w:rPr>
          <w:fldChar w:fldCharType="end"/>
        </w:r>
      </w:sdtContent>
    </w:sdt>
  </w:p>
  <w:p w14:paraId="0E4E75C1" w14:textId="77777777" w:rsidR="0012240F" w:rsidRDefault="0012240F" w:rsidP="008A5632">
    <w:pPr>
      <w:pStyle w:val="Footer"/>
      <w:ind w:firstLine="720"/>
    </w:pPr>
  </w:p>
  <w:p w14:paraId="7308387D" w14:textId="77777777" w:rsidR="0012240F" w:rsidRDefault="001224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91A1" w14:textId="4F0E168D" w:rsidR="0012240F" w:rsidRDefault="0012240F" w:rsidP="005F300B">
    <w:pPr>
      <w:pStyle w:val="Footer"/>
      <w:tabs>
        <w:tab w:val="left" w:pos="5162"/>
        <w:tab w:val="right" w:pos="14884"/>
      </w:tabs>
      <w:jc w:val="right"/>
    </w:pPr>
    <w:r>
      <w:rPr>
        <w:noProof/>
        <w:lang w:eastAsia="en-AU"/>
      </w:rPr>
      <w:drawing>
        <wp:anchor distT="0" distB="0" distL="114300" distR="114300" simplePos="0" relativeHeight="251656192" behindDoc="1" locked="0" layoutInCell="1" allowOverlap="1" wp14:anchorId="37368DDB" wp14:editId="42ECD9FC">
          <wp:simplePos x="0" y="0"/>
          <wp:positionH relativeFrom="column">
            <wp:posOffset>-818887</wp:posOffset>
          </wp:positionH>
          <wp:positionV relativeFrom="paragraph">
            <wp:posOffset>-214666</wp:posOffset>
          </wp:positionV>
          <wp:extent cx="10714007" cy="491706"/>
          <wp:effectExtent l="0" t="0" r="0" b="381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L Landscape footer.jpg"/>
                  <pic:cNvPicPr/>
                </pic:nvPicPr>
                <pic:blipFill>
                  <a:blip r:embed="rId1">
                    <a:extLst>
                      <a:ext uri="{28A0092B-C50C-407E-A947-70E740481C1C}">
                        <a14:useLocalDpi xmlns:a14="http://schemas.microsoft.com/office/drawing/2010/main" val="0"/>
                      </a:ext>
                    </a:extLst>
                  </a:blip>
                  <a:stretch>
                    <a:fillRect/>
                  </a:stretch>
                </pic:blipFill>
                <pic:spPr>
                  <a:xfrm>
                    <a:off x="0" y="0"/>
                    <a:ext cx="10774451" cy="494480"/>
                  </a:xfrm>
                  <a:prstGeom prst="rect">
                    <a:avLst/>
                  </a:prstGeom>
                </pic:spPr>
              </pic:pic>
            </a:graphicData>
          </a:graphic>
          <wp14:sizeRelH relativeFrom="page">
            <wp14:pctWidth>0</wp14:pctWidth>
          </wp14:sizeRelH>
          <wp14:sizeRelV relativeFrom="page">
            <wp14:pctHeight>0</wp14:pctHeight>
          </wp14:sizeRelV>
        </wp:anchor>
      </w:drawing>
    </w:r>
    <w:r>
      <w:tab/>
    </w:r>
    <w:r>
      <w:tab/>
    </w:r>
    <w:r w:rsidRPr="00721254">
      <w:rPr>
        <w:b/>
      </w:rPr>
      <w:tab/>
    </w:r>
    <w:r w:rsidRPr="00721254">
      <w:rPr>
        <w:b/>
        <w:noProof/>
        <w:lang w:eastAsia="en-AU"/>
      </w:rPr>
      <w:drawing>
        <wp:anchor distT="0" distB="0" distL="114300" distR="114300" simplePos="0" relativeHeight="251652096" behindDoc="1" locked="0" layoutInCell="1" allowOverlap="1" wp14:anchorId="137360B5" wp14:editId="4C51B028">
          <wp:simplePos x="0" y="0"/>
          <wp:positionH relativeFrom="column">
            <wp:posOffset>-655955</wp:posOffset>
          </wp:positionH>
          <wp:positionV relativeFrom="paragraph">
            <wp:posOffset>2799715</wp:posOffset>
          </wp:positionV>
          <wp:extent cx="7559675" cy="636905"/>
          <wp:effectExtent l="0" t="0" r="3175" b="0"/>
          <wp:wrapNone/>
          <wp:docPr id="338" name="Picture 338"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rPr>
      <w:t xml:space="preserve">VET Student Loans </w:t>
    </w:r>
    <w:r w:rsidRPr="00721254">
      <w:rPr>
        <w:rFonts w:cstheme="minorHAnsi"/>
        <w:b/>
      </w:rPr>
      <w:t>|</w:t>
    </w:r>
    <w:r w:rsidRPr="00721254">
      <w:rPr>
        <w:b/>
      </w:rPr>
      <w:t xml:space="preserve"> Manual for Providers </w:t>
    </w:r>
    <w:r w:rsidRPr="00721254">
      <w:rPr>
        <w:rFonts w:cstheme="minorHAnsi"/>
        <w:b/>
      </w:rPr>
      <w:t>|</w:t>
    </w:r>
    <w:r>
      <w:rPr>
        <w:b/>
      </w:rPr>
      <w:t xml:space="preserve"> Version 2.0</w:t>
    </w:r>
    <w:r w:rsidRPr="00721254">
      <w:rPr>
        <w:b/>
      </w:rPr>
      <w:t xml:space="preserve">- </w:t>
    </w:r>
    <w:r>
      <w:rPr>
        <w:b/>
      </w:rPr>
      <w:t>December</w:t>
    </w:r>
    <w:r w:rsidRPr="00721254">
      <w:rPr>
        <w:b/>
      </w:rPr>
      <w:t xml:space="preserve"> 2017 </w:t>
    </w:r>
    <w:r w:rsidRPr="00721254">
      <w:rPr>
        <w:rFonts w:cstheme="minorHAnsi"/>
        <w:b/>
      </w:rPr>
      <w:t>|</w:t>
    </w:r>
    <w:r w:rsidRPr="00721254">
      <w:rPr>
        <w:b/>
      </w:rPr>
      <w:t xml:space="preserve">  </w:t>
    </w:r>
    <w:sdt>
      <w:sdtPr>
        <w:rPr>
          <w:b/>
        </w:rPr>
        <w:id w:val="1006716106"/>
        <w:docPartObj>
          <w:docPartGallery w:val="Page Numbers (Bottom of Page)"/>
          <w:docPartUnique/>
        </w:docPartObj>
      </w:sdtPr>
      <w:sdtEndPr>
        <w:rPr>
          <w:b w:val="0"/>
          <w:noProof/>
        </w:rPr>
      </w:sdtEndPr>
      <w:sdtContent>
        <w:r w:rsidRPr="00721254">
          <w:rPr>
            <w:b/>
          </w:rPr>
          <w:fldChar w:fldCharType="begin"/>
        </w:r>
        <w:r w:rsidRPr="00721254">
          <w:rPr>
            <w:b/>
          </w:rPr>
          <w:instrText xml:space="preserve"> PAGE   \* MERGEFORMAT </w:instrText>
        </w:r>
        <w:r w:rsidRPr="00721254">
          <w:rPr>
            <w:b/>
          </w:rPr>
          <w:fldChar w:fldCharType="separate"/>
        </w:r>
        <w:r w:rsidR="00D6049E">
          <w:rPr>
            <w:b/>
            <w:noProof/>
          </w:rPr>
          <w:t>105</w:t>
        </w:r>
        <w:r w:rsidRPr="00721254">
          <w:rPr>
            <w:b/>
            <w:noProof/>
          </w:rPr>
          <w:fldChar w:fldCharType="end"/>
        </w:r>
      </w:sdtContent>
    </w:sdt>
  </w:p>
  <w:p w14:paraId="7B5BA719" w14:textId="77777777" w:rsidR="0012240F" w:rsidRDefault="0012240F" w:rsidP="005F300B">
    <w:pPr>
      <w:pStyle w:val="Footer"/>
      <w:tabs>
        <w:tab w:val="clear" w:pos="4513"/>
        <w:tab w:val="clear" w:pos="9026"/>
        <w:tab w:val="left" w:pos="5159"/>
      </w:tabs>
    </w:pPr>
  </w:p>
  <w:p w14:paraId="06267394" w14:textId="77777777" w:rsidR="0012240F" w:rsidRPr="005E0866" w:rsidRDefault="0012240F" w:rsidP="005F300B">
    <w:pPr>
      <w:pStyle w:val="Footer"/>
      <w:tabs>
        <w:tab w:val="clear" w:pos="4513"/>
        <w:tab w:val="clear" w:pos="9026"/>
        <w:tab w:val="left" w:pos="5159"/>
      </w:tabs>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1542" w14:textId="34BBC308" w:rsidR="0012240F" w:rsidRPr="00721254" w:rsidRDefault="0012240F" w:rsidP="005F300B">
    <w:pPr>
      <w:pStyle w:val="Footer"/>
      <w:tabs>
        <w:tab w:val="left" w:pos="5162"/>
        <w:tab w:val="right" w:pos="14884"/>
      </w:tabs>
      <w:spacing w:before="320"/>
      <w:jc w:val="right"/>
      <w:rPr>
        <w:b/>
      </w:rPr>
    </w:pPr>
    <w:r w:rsidRPr="00721254">
      <w:rPr>
        <w:b/>
        <w:noProof/>
        <w:lang w:eastAsia="en-AU"/>
      </w:rPr>
      <w:drawing>
        <wp:anchor distT="0" distB="0" distL="114300" distR="114300" simplePos="0" relativeHeight="251659264" behindDoc="1" locked="0" layoutInCell="1" allowOverlap="1" wp14:anchorId="74DFD568" wp14:editId="4A0ADFAE">
          <wp:simplePos x="0" y="0"/>
          <wp:positionH relativeFrom="column">
            <wp:posOffset>-806450</wp:posOffset>
          </wp:positionH>
          <wp:positionV relativeFrom="paragraph">
            <wp:posOffset>21219</wp:posOffset>
          </wp:positionV>
          <wp:extent cx="10714007" cy="491706"/>
          <wp:effectExtent l="0" t="0" r="0" b="381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L Landscape footer.jpg"/>
                  <pic:cNvPicPr/>
                </pic:nvPicPr>
                <pic:blipFill>
                  <a:blip r:embed="rId1">
                    <a:extLst>
                      <a:ext uri="{28A0092B-C50C-407E-A947-70E740481C1C}">
                        <a14:useLocalDpi xmlns:a14="http://schemas.microsoft.com/office/drawing/2010/main" val="0"/>
                      </a:ext>
                    </a:extLst>
                  </a:blip>
                  <a:stretch>
                    <a:fillRect/>
                  </a:stretch>
                </pic:blipFill>
                <pic:spPr>
                  <a:xfrm>
                    <a:off x="0" y="0"/>
                    <a:ext cx="10714007" cy="491706"/>
                  </a:xfrm>
                  <a:prstGeom prst="rect">
                    <a:avLst/>
                  </a:prstGeom>
                </pic:spPr>
              </pic:pic>
            </a:graphicData>
          </a:graphic>
          <wp14:sizeRelH relativeFrom="page">
            <wp14:pctWidth>0</wp14:pctWidth>
          </wp14:sizeRelH>
          <wp14:sizeRelV relativeFrom="page">
            <wp14:pctHeight>0</wp14:pctHeight>
          </wp14:sizeRelV>
        </wp:anchor>
      </w:drawing>
    </w:r>
    <w:r w:rsidRPr="00721254">
      <w:rPr>
        <w:b/>
        <w:noProof/>
        <w:lang w:eastAsia="en-AU"/>
      </w:rPr>
      <w:drawing>
        <wp:anchor distT="0" distB="0" distL="114300" distR="114300" simplePos="0" relativeHeight="251658240" behindDoc="1" locked="0" layoutInCell="1" allowOverlap="1" wp14:anchorId="1E33FB71" wp14:editId="4B41E0BD">
          <wp:simplePos x="0" y="0"/>
          <wp:positionH relativeFrom="column">
            <wp:posOffset>-655955</wp:posOffset>
          </wp:positionH>
          <wp:positionV relativeFrom="paragraph">
            <wp:posOffset>2799715</wp:posOffset>
          </wp:positionV>
          <wp:extent cx="7559675" cy="636905"/>
          <wp:effectExtent l="0" t="0" r="3175" b="0"/>
          <wp:wrapNone/>
          <wp:docPr id="340" name="Picture 340"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rPr>
      <w:t xml:space="preserve">VET Student Loans </w:t>
    </w:r>
    <w:r w:rsidRPr="00721254">
      <w:rPr>
        <w:rFonts w:cstheme="minorHAnsi"/>
        <w:b/>
      </w:rPr>
      <w:t>|</w:t>
    </w:r>
    <w:r w:rsidRPr="00721254">
      <w:rPr>
        <w:b/>
      </w:rPr>
      <w:t xml:space="preserve"> Manual for Providers </w:t>
    </w:r>
    <w:r w:rsidRPr="00721254">
      <w:rPr>
        <w:rFonts w:cstheme="minorHAnsi"/>
        <w:b/>
      </w:rPr>
      <w:t>|</w:t>
    </w:r>
    <w:r w:rsidRPr="00721254">
      <w:rPr>
        <w:b/>
      </w:rPr>
      <w:t xml:space="preserve"> Version </w:t>
    </w:r>
    <w:r>
      <w:rPr>
        <w:b/>
      </w:rPr>
      <w:t>2.0</w:t>
    </w:r>
    <w:r w:rsidRPr="00721254">
      <w:rPr>
        <w:b/>
      </w:rPr>
      <w:t xml:space="preserve">- </w:t>
    </w:r>
    <w:r>
      <w:rPr>
        <w:b/>
      </w:rPr>
      <w:t>December</w:t>
    </w:r>
    <w:r w:rsidRPr="00721254">
      <w:rPr>
        <w:b/>
      </w:rPr>
      <w:t xml:space="preserve"> 2017 </w:t>
    </w:r>
    <w:r w:rsidRPr="00721254">
      <w:rPr>
        <w:rFonts w:cstheme="minorHAnsi"/>
        <w:b/>
      </w:rPr>
      <w:t>|</w:t>
    </w:r>
    <w:r w:rsidRPr="00721254">
      <w:rPr>
        <w:b/>
      </w:rPr>
      <w:t xml:space="preserve">  </w:t>
    </w:r>
    <w:sdt>
      <w:sdtPr>
        <w:rPr>
          <w:b/>
        </w:rPr>
        <w:id w:val="1188875079"/>
        <w:docPartObj>
          <w:docPartGallery w:val="Page Numbers (Bottom of Page)"/>
          <w:docPartUnique/>
        </w:docPartObj>
      </w:sdtPr>
      <w:sdtEndPr>
        <w:rPr>
          <w:noProof/>
        </w:rPr>
      </w:sdtEndPr>
      <w:sdtContent>
        <w:r w:rsidRPr="00721254">
          <w:rPr>
            <w:b/>
          </w:rPr>
          <w:fldChar w:fldCharType="begin"/>
        </w:r>
        <w:r w:rsidRPr="00721254">
          <w:rPr>
            <w:b/>
          </w:rPr>
          <w:instrText xml:space="preserve"> PAGE   \* MERGEFORMAT </w:instrText>
        </w:r>
        <w:r w:rsidRPr="00721254">
          <w:rPr>
            <w:b/>
          </w:rPr>
          <w:fldChar w:fldCharType="separate"/>
        </w:r>
        <w:r w:rsidR="00D6049E">
          <w:rPr>
            <w:b/>
            <w:noProof/>
          </w:rPr>
          <w:t>104</w:t>
        </w:r>
        <w:r w:rsidRPr="00721254">
          <w:rPr>
            <w:b/>
            <w:noProof/>
          </w:rPr>
          <w:fldChar w:fldCharType="end"/>
        </w:r>
      </w:sdtContent>
    </w:sdt>
  </w:p>
  <w:p w14:paraId="23C1365B" w14:textId="77777777" w:rsidR="0012240F" w:rsidRPr="00721254" w:rsidRDefault="0012240F">
    <w:pPr>
      <w:pStyle w:val="Footer"/>
      <w:rPr>
        <w:b/>
      </w:rPr>
    </w:pPr>
  </w:p>
  <w:p w14:paraId="464F0F6F" w14:textId="77777777" w:rsidR="0012240F" w:rsidRDefault="0012240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3031" w14:textId="6674CFC6" w:rsidR="0012240F" w:rsidRPr="00721254" w:rsidRDefault="0012240F" w:rsidP="005F300B">
    <w:pPr>
      <w:pStyle w:val="Footer"/>
      <w:tabs>
        <w:tab w:val="clear" w:pos="4513"/>
        <w:tab w:val="clear" w:pos="9026"/>
        <w:tab w:val="right" w:pos="14884"/>
      </w:tabs>
      <w:jc w:val="right"/>
      <w:rPr>
        <w:b/>
      </w:rPr>
    </w:pPr>
    <w:r w:rsidRPr="00721254">
      <w:rPr>
        <w:b/>
        <w:noProof/>
        <w:lang w:eastAsia="en-AU"/>
      </w:rPr>
      <w:drawing>
        <wp:anchor distT="0" distB="0" distL="114300" distR="114300" simplePos="0" relativeHeight="251654144" behindDoc="1" locked="0" layoutInCell="1" allowOverlap="1" wp14:anchorId="39577F76" wp14:editId="6CC1B2AC">
          <wp:simplePos x="0" y="0"/>
          <wp:positionH relativeFrom="column">
            <wp:posOffset>-916676</wp:posOffset>
          </wp:positionH>
          <wp:positionV relativeFrom="paragraph">
            <wp:posOffset>-123190</wp:posOffset>
          </wp:positionV>
          <wp:extent cx="7559675" cy="636905"/>
          <wp:effectExtent l="0" t="0" r="3175" b="0"/>
          <wp:wrapNone/>
          <wp:docPr id="11" name="Picture 11"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noProof/>
        <w:lang w:eastAsia="en-AU"/>
      </w:rPr>
      <w:drawing>
        <wp:anchor distT="0" distB="0" distL="114300" distR="114300" simplePos="0" relativeHeight="251655168" behindDoc="1" locked="0" layoutInCell="1" allowOverlap="1" wp14:anchorId="5DF06466" wp14:editId="6A4876E4">
          <wp:simplePos x="0" y="0"/>
          <wp:positionH relativeFrom="column">
            <wp:posOffset>-655955</wp:posOffset>
          </wp:positionH>
          <wp:positionV relativeFrom="paragraph">
            <wp:posOffset>2799715</wp:posOffset>
          </wp:positionV>
          <wp:extent cx="7559675" cy="636905"/>
          <wp:effectExtent l="0" t="0" r="3175" b="0"/>
          <wp:wrapNone/>
          <wp:docPr id="15" name="Picture 15"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rPr>
      <w:t xml:space="preserve">VET Student Loans </w:t>
    </w:r>
    <w:r w:rsidRPr="00721254">
      <w:rPr>
        <w:rFonts w:cstheme="minorHAnsi"/>
        <w:b/>
      </w:rPr>
      <w:t>|</w:t>
    </w:r>
    <w:r w:rsidRPr="00721254">
      <w:rPr>
        <w:b/>
      </w:rPr>
      <w:t xml:space="preserve"> Manual for Providers </w:t>
    </w:r>
    <w:r w:rsidRPr="00721254">
      <w:rPr>
        <w:rFonts w:cstheme="minorHAnsi"/>
        <w:b/>
      </w:rPr>
      <w:t>|</w:t>
    </w:r>
    <w:r>
      <w:rPr>
        <w:b/>
      </w:rPr>
      <w:t xml:space="preserve"> Version 2.0</w:t>
    </w:r>
    <w:r w:rsidRPr="00721254">
      <w:rPr>
        <w:b/>
      </w:rPr>
      <w:t xml:space="preserve">- </w:t>
    </w:r>
    <w:r>
      <w:rPr>
        <w:b/>
      </w:rPr>
      <w:t>December</w:t>
    </w:r>
    <w:r w:rsidRPr="00721254">
      <w:rPr>
        <w:b/>
      </w:rPr>
      <w:t xml:space="preserve"> 2017 </w:t>
    </w:r>
    <w:r w:rsidRPr="00721254">
      <w:rPr>
        <w:rFonts w:cstheme="minorHAnsi"/>
        <w:b/>
      </w:rPr>
      <w:t>|</w:t>
    </w:r>
    <w:r w:rsidRPr="00721254">
      <w:rPr>
        <w:b/>
      </w:rPr>
      <w:t xml:space="preserve">  </w:t>
    </w:r>
    <w:sdt>
      <w:sdtPr>
        <w:rPr>
          <w:b/>
        </w:rPr>
        <w:id w:val="-929496104"/>
        <w:docPartObj>
          <w:docPartGallery w:val="Page Numbers (Bottom of Page)"/>
          <w:docPartUnique/>
        </w:docPartObj>
      </w:sdtPr>
      <w:sdtEndPr>
        <w:rPr>
          <w:noProof/>
        </w:rPr>
      </w:sdtEndPr>
      <w:sdtContent>
        <w:r w:rsidRPr="00721254">
          <w:rPr>
            <w:b/>
          </w:rPr>
          <w:fldChar w:fldCharType="begin"/>
        </w:r>
        <w:r w:rsidRPr="00721254">
          <w:rPr>
            <w:b/>
          </w:rPr>
          <w:instrText xml:space="preserve"> PAGE   \* MERGEFORMAT </w:instrText>
        </w:r>
        <w:r w:rsidRPr="00721254">
          <w:rPr>
            <w:b/>
          </w:rPr>
          <w:fldChar w:fldCharType="separate"/>
        </w:r>
        <w:r w:rsidR="00D6049E">
          <w:rPr>
            <w:b/>
            <w:noProof/>
          </w:rPr>
          <w:t>108</w:t>
        </w:r>
        <w:r w:rsidRPr="00721254">
          <w:rPr>
            <w:b/>
            <w:noProof/>
          </w:rPr>
          <w:fldChar w:fldCharType="end"/>
        </w:r>
      </w:sdtContent>
    </w:sdt>
  </w:p>
  <w:p w14:paraId="7DB28311" w14:textId="77777777" w:rsidR="0012240F" w:rsidRDefault="0012240F" w:rsidP="005F300B">
    <w:pPr>
      <w:pStyle w:val="Footer"/>
      <w:tabs>
        <w:tab w:val="clear" w:pos="4513"/>
        <w:tab w:val="clear" w:pos="9026"/>
        <w:tab w:val="left" w:pos="5159"/>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C765" w14:textId="07E4EE45" w:rsidR="0012240F" w:rsidRPr="00721254" w:rsidRDefault="0012240F" w:rsidP="005F300B">
    <w:pPr>
      <w:pStyle w:val="Footer"/>
      <w:tabs>
        <w:tab w:val="left" w:pos="5162"/>
        <w:tab w:val="right" w:pos="14884"/>
      </w:tabs>
      <w:jc w:val="right"/>
      <w:rPr>
        <w:b/>
      </w:rPr>
    </w:pPr>
    <w:r>
      <w:tab/>
    </w:r>
    <w:r w:rsidRPr="00721254">
      <w:rPr>
        <w:b/>
        <w:noProof/>
        <w:lang w:eastAsia="en-AU"/>
      </w:rPr>
      <w:drawing>
        <wp:anchor distT="0" distB="0" distL="114300" distR="114300" simplePos="0" relativeHeight="251657216" behindDoc="1" locked="0" layoutInCell="1" allowOverlap="1" wp14:anchorId="790600DC" wp14:editId="765BF7AC">
          <wp:simplePos x="0" y="0"/>
          <wp:positionH relativeFrom="column">
            <wp:posOffset>-655955</wp:posOffset>
          </wp:positionH>
          <wp:positionV relativeFrom="paragraph">
            <wp:posOffset>2799715</wp:posOffset>
          </wp:positionV>
          <wp:extent cx="7559675" cy="636905"/>
          <wp:effectExtent l="0" t="0" r="3175" b="0"/>
          <wp:wrapNone/>
          <wp:docPr id="17" name="Picture 17"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254">
      <w:rPr>
        <w:b/>
      </w:rPr>
      <w:t xml:space="preserve">VET Student Loans </w:t>
    </w:r>
    <w:r w:rsidRPr="00721254">
      <w:rPr>
        <w:rFonts w:cstheme="minorHAnsi"/>
        <w:b/>
      </w:rPr>
      <w:t>|</w:t>
    </w:r>
    <w:r w:rsidRPr="00721254">
      <w:rPr>
        <w:b/>
      </w:rPr>
      <w:t xml:space="preserve"> Manual for Providers </w:t>
    </w:r>
    <w:r w:rsidRPr="00721254">
      <w:rPr>
        <w:rFonts w:cstheme="minorHAnsi"/>
        <w:b/>
      </w:rPr>
      <w:t>|</w:t>
    </w:r>
    <w:r>
      <w:rPr>
        <w:b/>
      </w:rPr>
      <w:t xml:space="preserve"> Version 2.0 –</w:t>
    </w:r>
    <w:r w:rsidRPr="00721254">
      <w:rPr>
        <w:b/>
      </w:rPr>
      <w:t xml:space="preserve"> </w:t>
    </w:r>
    <w:r>
      <w:rPr>
        <w:b/>
      </w:rPr>
      <w:t xml:space="preserve">December </w:t>
    </w:r>
    <w:r w:rsidRPr="00721254">
      <w:rPr>
        <w:b/>
      </w:rPr>
      <w:t xml:space="preserve">2017 </w:t>
    </w:r>
    <w:r w:rsidRPr="00721254">
      <w:rPr>
        <w:rFonts w:cstheme="minorHAnsi"/>
        <w:b/>
      </w:rPr>
      <w:t>|</w:t>
    </w:r>
    <w:r w:rsidRPr="00721254">
      <w:rPr>
        <w:b/>
      </w:rPr>
      <w:t xml:space="preserve">  </w:t>
    </w:r>
    <w:sdt>
      <w:sdtPr>
        <w:rPr>
          <w:b/>
        </w:rPr>
        <w:id w:val="-873229191"/>
        <w:docPartObj>
          <w:docPartGallery w:val="Page Numbers (Bottom of Page)"/>
          <w:docPartUnique/>
        </w:docPartObj>
      </w:sdtPr>
      <w:sdtEndPr>
        <w:rPr>
          <w:noProof/>
        </w:rPr>
      </w:sdtEndPr>
      <w:sdtContent>
        <w:r w:rsidRPr="00721254">
          <w:rPr>
            <w:b/>
          </w:rPr>
          <w:fldChar w:fldCharType="begin"/>
        </w:r>
        <w:r w:rsidRPr="00721254">
          <w:rPr>
            <w:b/>
          </w:rPr>
          <w:instrText xml:space="preserve"> PAGE   \* MERGEFORMAT </w:instrText>
        </w:r>
        <w:r w:rsidRPr="00721254">
          <w:rPr>
            <w:b/>
          </w:rPr>
          <w:fldChar w:fldCharType="separate"/>
        </w:r>
        <w:r w:rsidR="00D6049E">
          <w:rPr>
            <w:b/>
            <w:noProof/>
          </w:rPr>
          <w:t>106</w:t>
        </w:r>
        <w:r w:rsidRPr="00721254">
          <w:rPr>
            <w:b/>
            <w:noProof/>
          </w:rPr>
          <w:fldChar w:fldCharType="end"/>
        </w:r>
      </w:sdtContent>
    </w:sdt>
  </w:p>
  <w:p w14:paraId="018470D2" w14:textId="77777777" w:rsidR="0012240F" w:rsidRDefault="0012240F" w:rsidP="005F300B">
    <w:pPr>
      <w:pStyle w:val="Footer"/>
      <w:jc w:val="right"/>
    </w:pPr>
    <w:r>
      <w:rPr>
        <w:noProof/>
        <w:lang w:eastAsia="en-AU"/>
      </w:rPr>
      <w:t xml:space="preserve"> </w:t>
    </w:r>
    <w:r>
      <w:rPr>
        <w:noProof/>
        <w:lang w:eastAsia="en-AU"/>
      </w:rPr>
      <w:drawing>
        <wp:anchor distT="0" distB="0" distL="114300" distR="114300" simplePos="0" relativeHeight="251653120" behindDoc="1" locked="0" layoutInCell="1" allowOverlap="1" wp14:anchorId="41397626" wp14:editId="54766299">
          <wp:simplePos x="0" y="0"/>
          <wp:positionH relativeFrom="column">
            <wp:posOffset>-935355</wp:posOffset>
          </wp:positionH>
          <wp:positionV relativeFrom="paragraph">
            <wp:posOffset>-248656</wp:posOffset>
          </wp:positionV>
          <wp:extent cx="7559675" cy="636905"/>
          <wp:effectExtent l="0" t="0" r="3175" b="0"/>
          <wp:wrapNone/>
          <wp:docPr id="18" name="Picture 18"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A67D" w14:textId="77777777" w:rsidR="0016765E" w:rsidRDefault="0016765E">
      <w:pPr>
        <w:spacing w:after="0"/>
      </w:pPr>
      <w:r>
        <w:separator/>
      </w:r>
    </w:p>
  </w:footnote>
  <w:footnote w:type="continuationSeparator" w:id="0">
    <w:p w14:paraId="72F67206" w14:textId="77777777" w:rsidR="0016765E" w:rsidRDefault="001676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60C4" w14:textId="77777777" w:rsidR="0012240F" w:rsidRDefault="00122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9A1E" w14:textId="77777777" w:rsidR="0012240F" w:rsidRDefault="00122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09EB" w14:textId="77777777" w:rsidR="0012240F" w:rsidRDefault="00122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0F81" w14:textId="77777777" w:rsidR="0012240F" w:rsidRDefault="001224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C828" w14:textId="77777777" w:rsidR="0012240F" w:rsidRDefault="001224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65AA" w14:textId="77777777" w:rsidR="0012240F" w:rsidRDefault="001224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99EF" w14:textId="77777777" w:rsidR="0012240F" w:rsidRDefault="001224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D8D97" w14:textId="77777777" w:rsidR="0012240F" w:rsidRPr="00E776C7" w:rsidRDefault="0012240F" w:rsidP="005F300B">
    <w:pPr>
      <w:pStyle w:val="Header"/>
    </w:pPr>
  </w:p>
  <w:p w14:paraId="185D9ABF" w14:textId="77777777" w:rsidR="0012240F" w:rsidRDefault="001224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5648"/>
    <w:multiLevelType w:val="multilevel"/>
    <w:tmpl w:val="8660A6F2"/>
    <w:lvl w:ilvl="0">
      <w:start w:val="4"/>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567" w:hanging="567"/>
      </w:pPr>
      <w:rPr>
        <w:rFonts w:hint="default"/>
        <w:i w:val="0"/>
        <w:sz w:val="20"/>
        <w:szCs w:val="20"/>
      </w:rPr>
    </w:lvl>
    <w:lvl w:ilvl="4">
      <w:start w:val="1"/>
      <w:numFmt w:val="lowerRoman"/>
      <w:lvlText w:val="(%5)"/>
      <w:lvlJc w:val="left"/>
      <w:pPr>
        <w:tabs>
          <w:tab w:val="num" w:pos="1276"/>
        </w:tabs>
        <w:ind w:left="1276"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B5729A"/>
    <w:multiLevelType w:val="hybridMultilevel"/>
    <w:tmpl w:val="C2105E42"/>
    <w:lvl w:ilvl="0" w:tplc="FFFFFFFF">
      <w:start w:val="1"/>
      <w:numFmt w:val="lowerLetter"/>
      <w:pStyle w:val="sub-paraxCharChar"/>
      <w:lvlText w:val="(%1)"/>
      <w:lvlJc w:val="left"/>
      <w:pPr>
        <w:tabs>
          <w:tab w:val="num" w:pos="360"/>
        </w:tabs>
        <w:ind w:left="927" w:hanging="567"/>
      </w:pPr>
      <w:rPr>
        <w:rFonts w:cs="Times New Roman" w:hint="default"/>
        <w:b w:val="0"/>
        <w:bCs w:val="0"/>
        <w:i w:val="0"/>
        <w:iCs w:val="0"/>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D1B097B"/>
    <w:multiLevelType w:val="multilevel"/>
    <w:tmpl w:val="209C4938"/>
    <w:lvl w:ilvl="0">
      <w:start w:val="1"/>
      <w:numFmt w:val="bullet"/>
      <w:pStyle w:val="Bullet"/>
      <w:lvlText w:val="•"/>
      <w:lvlJc w:val="left"/>
      <w:pPr>
        <w:tabs>
          <w:tab w:val="num" w:pos="1107"/>
        </w:tabs>
        <w:ind w:left="110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nsid w:val="12AD3A63"/>
    <w:multiLevelType w:val="multilevel"/>
    <w:tmpl w:val="4A18EB86"/>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4967866"/>
    <w:multiLevelType w:val="multilevel"/>
    <w:tmpl w:val="41164A96"/>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177231A3"/>
    <w:multiLevelType w:val="multilevel"/>
    <w:tmpl w:val="13F06606"/>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17AE27B3"/>
    <w:multiLevelType w:val="multilevel"/>
    <w:tmpl w:val="C18EFDF6"/>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19ED566F"/>
    <w:multiLevelType w:val="multilevel"/>
    <w:tmpl w:val="C18EFDF6"/>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BD97790"/>
    <w:multiLevelType w:val="multilevel"/>
    <w:tmpl w:val="2A185650"/>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1D64406D"/>
    <w:multiLevelType w:val="multilevel"/>
    <w:tmpl w:val="62CED30A"/>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1E1534CE"/>
    <w:multiLevelType w:val="multilevel"/>
    <w:tmpl w:val="07942538"/>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1E357E76"/>
    <w:multiLevelType w:val="multilevel"/>
    <w:tmpl w:val="77C2BA3C"/>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o"/>
      <w:lvlJc w:val="left"/>
      <w:pPr>
        <w:ind w:left="766" w:hanging="340"/>
      </w:pPr>
      <w:rPr>
        <w:rFonts w:ascii="Courier New" w:hAnsi="Courier New" w:cs="Courier New"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1EE5B2A"/>
    <w:multiLevelType w:val="multilevel"/>
    <w:tmpl w:val="EA849040"/>
    <w:lvl w:ilvl="0">
      <w:start w:val="1"/>
      <w:numFmt w:val="decimal"/>
      <w:lvlText w:val="%1"/>
      <w:lvlJc w:val="left"/>
      <w:pPr>
        <w:ind w:left="432" w:hanging="432"/>
      </w:pPr>
    </w:lvl>
    <w:lvl w:ilvl="1">
      <w:start w:val="1"/>
      <w:numFmt w:val="decimal"/>
      <w:lvlText w:val="%1.%2"/>
      <w:lvlJc w:val="left"/>
      <w:pPr>
        <w:ind w:left="576" w:hanging="576"/>
      </w:pPr>
      <w:rPr>
        <w:color w:val="FFFFFF" w:themeColor="background1"/>
      </w:rPr>
    </w:lvl>
    <w:lvl w:ilvl="2">
      <w:start w:val="1"/>
      <w:numFmt w:val="decimal"/>
      <w:lvlText w:val="%1.%2.%3"/>
      <w:lvlJc w:val="left"/>
      <w:pPr>
        <w:ind w:left="1288" w:hanging="720"/>
      </w:pPr>
      <w:rPr>
        <w:b/>
        <w:color w:val="FFFFFF" w:themeColor="background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27B7F75"/>
    <w:multiLevelType w:val="hybridMultilevel"/>
    <w:tmpl w:val="FBE084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0">
    <w:nsid w:val="23E822DE"/>
    <w:multiLevelType w:val="multilevel"/>
    <w:tmpl w:val="D332A71E"/>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2418638D"/>
    <w:multiLevelType w:val="hybridMultilevel"/>
    <w:tmpl w:val="9BEAD354"/>
    <w:lvl w:ilvl="0" w:tplc="2CEEEC2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25817D64"/>
    <w:multiLevelType w:val="hybridMultilevel"/>
    <w:tmpl w:val="4CE69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26083D65"/>
    <w:multiLevelType w:val="hybridMultilevel"/>
    <w:tmpl w:val="B6929260"/>
    <w:lvl w:ilvl="0" w:tplc="E182F8A4">
      <w:start w:val="1"/>
      <w:numFmt w:val="lowerRoman"/>
      <w:pStyle w:val="ipoints"/>
      <w:lvlText w:val="%1."/>
      <w:lvlJc w:val="left"/>
      <w:pPr>
        <w:ind w:left="2160" w:hanging="720"/>
      </w:pPr>
      <w:rPr>
        <w:rFonts w:asciiTheme="minorHAnsi" w:eastAsiaTheme="minorHAnsi" w:hAnsiTheme="minorHAnsi" w:cstheme="minorBid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275476F4"/>
    <w:multiLevelType w:val="hybridMultilevel"/>
    <w:tmpl w:val="6582991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7F05952"/>
    <w:multiLevelType w:val="hybridMultilevel"/>
    <w:tmpl w:val="126CFE00"/>
    <w:lvl w:ilvl="0" w:tplc="D3446A8A">
      <w:start w:val="1"/>
      <w:numFmt w:val="decimal"/>
      <w:pStyle w:val="numberpoint"/>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81741CB"/>
    <w:multiLevelType w:val="multilevel"/>
    <w:tmpl w:val="79C636DE"/>
    <w:lvl w:ilvl="0">
      <w:start w:val="1"/>
      <w:numFmt w:val="bullet"/>
      <w:lvlText w:val="o"/>
      <w:lvlJc w:val="left"/>
      <w:pPr>
        <w:ind w:left="786" w:hanging="360"/>
      </w:pPr>
      <w:rPr>
        <w:rFonts w:ascii="Courier New" w:hAnsi="Courier New" w:cs="Courier New" w:hint="default"/>
      </w:rPr>
    </w:lvl>
    <w:lvl w:ilvl="1">
      <w:start w:val="1"/>
      <w:numFmt w:val="bullet"/>
      <w:lvlText w:val=""/>
      <w:lvlJc w:val="left"/>
      <w:pPr>
        <w:ind w:left="1163" w:hanging="340"/>
      </w:pPr>
      <w:rPr>
        <w:rFonts w:ascii="Symbol" w:hAnsi="Symbol" w:hint="default"/>
      </w:rPr>
    </w:lvl>
    <w:lvl w:ilvl="2">
      <w:start w:val="1"/>
      <w:numFmt w:val="bullet"/>
      <w:lvlText w:val=""/>
      <w:lvlJc w:val="left"/>
      <w:pPr>
        <w:ind w:left="1560" w:hanging="340"/>
      </w:pPr>
      <w:rPr>
        <w:rFonts w:ascii="Wingdings" w:hAnsi="Wingdings" w:hint="default"/>
      </w:rPr>
    </w:lvl>
    <w:lvl w:ilvl="3">
      <w:start w:val="1"/>
      <w:numFmt w:val="bullet"/>
      <w:lvlText w:val="o"/>
      <w:lvlJc w:val="left"/>
      <w:pPr>
        <w:ind w:left="1957" w:hanging="397"/>
      </w:pPr>
      <w:rPr>
        <w:rFonts w:ascii="Courier New" w:hAnsi="Courier New"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7">
    <w:nsid w:val="2B6E4FAA"/>
    <w:multiLevelType w:val="hybridMultilevel"/>
    <w:tmpl w:val="6AC21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C364F0C"/>
    <w:multiLevelType w:val="multilevel"/>
    <w:tmpl w:val="6F08F7B2"/>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2C376F69"/>
    <w:multiLevelType w:val="hybridMultilevel"/>
    <w:tmpl w:val="A61283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FCC4FEE"/>
    <w:multiLevelType w:val="multilevel"/>
    <w:tmpl w:val="00AC46D0"/>
    <w:lvl w:ilvl="0">
      <w:start w:val="1"/>
      <w:numFmt w:val="decimal"/>
      <w:pStyle w:val="ClauseLevel3CharCharChar"/>
      <w:lvlText w:val="%1."/>
      <w:lvlJc w:val="left"/>
      <w:pPr>
        <w:tabs>
          <w:tab w:val="num" w:pos="1134"/>
        </w:tabs>
        <w:ind w:left="1134" w:hanging="1134"/>
      </w:pPr>
      <w:rPr>
        <w:rFonts w:cs="Times New Roman" w:hint="default"/>
        <w:sz w:val="20"/>
        <w:szCs w:val="20"/>
      </w:rPr>
    </w:lvl>
    <w:lvl w:ilvl="1">
      <w:start w:val="1"/>
      <w:numFmt w:val="decimal"/>
      <w:lvlText w:val="%1.%2."/>
      <w:lvlJc w:val="left"/>
      <w:pPr>
        <w:tabs>
          <w:tab w:val="num" w:pos="1134"/>
        </w:tabs>
        <w:ind w:left="1134" w:hanging="1134"/>
      </w:pPr>
      <w:rPr>
        <w:rFonts w:cs="Times New Roman" w:hint="default"/>
        <w:sz w:val="20"/>
        <w:szCs w:val="20"/>
      </w:rPr>
    </w:lvl>
    <w:lvl w:ilvl="2">
      <w:start w:val="1"/>
      <w:numFmt w:val="lowerLetter"/>
      <w:pStyle w:val="ClauseLevel4CharChar"/>
      <w:lvlText w:val="%3."/>
      <w:lvlJc w:val="left"/>
      <w:pPr>
        <w:tabs>
          <w:tab w:val="num" w:pos="2225"/>
        </w:tabs>
        <w:ind w:left="2225" w:hanging="425"/>
      </w:pPr>
      <w:rPr>
        <w:rFonts w:cs="Times New Roman" w:hint="default"/>
      </w:rPr>
    </w:lvl>
    <w:lvl w:ilvl="3">
      <w:start w:val="1"/>
      <w:numFmt w:val="lowerRoman"/>
      <w:lvlText w:val="%4."/>
      <w:lvlJc w:val="left"/>
      <w:pPr>
        <w:tabs>
          <w:tab w:val="num" w:pos="850"/>
        </w:tabs>
        <w:ind w:left="850" w:hanging="850"/>
      </w:pPr>
      <w:rPr>
        <w:rFonts w:cs="Times New Roman" w:hint="default"/>
      </w:rPr>
    </w:lvl>
    <w:lvl w:ilvl="4">
      <w:start w:val="1"/>
      <w:numFmt w:val="upperLetter"/>
      <w:pStyle w:val="ClauseLevel6"/>
      <w:lvlText w:val="%5%4."/>
      <w:lvlJc w:val="left"/>
      <w:pPr>
        <w:tabs>
          <w:tab w:val="num" w:pos="-284"/>
        </w:tabs>
        <w:ind w:left="-284" w:hanging="425"/>
      </w:pPr>
      <w:rPr>
        <w:rFonts w:cs="Times New Roman" w:hint="default"/>
      </w:rPr>
    </w:lvl>
    <w:lvl w:ilvl="5">
      <w:start w:val="1"/>
      <w:numFmt w:val="upperLetter"/>
      <w:pStyle w:val="ClauseLevel7"/>
      <w:lvlText w:val="%4."/>
      <w:lvlJc w:val="left"/>
      <w:pPr>
        <w:tabs>
          <w:tab w:val="num" w:pos="-284"/>
        </w:tabs>
        <w:ind w:left="-284" w:hanging="425"/>
      </w:pPr>
      <w:rPr>
        <w:rFonts w:cs="Times New Roman" w:hint="default"/>
      </w:rPr>
    </w:lvl>
    <w:lvl w:ilvl="6">
      <w:start w:val="1"/>
      <w:numFmt w:val="upperLetter"/>
      <w:pStyle w:val="ClauseLevel8"/>
      <w:lvlText w:val="%4."/>
      <w:lvlJc w:val="left"/>
      <w:pPr>
        <w:tabs>
          <w:tab w:val="num" w:pos="-284"/>
        </w:tabs>
        <w:ind w:left="-284" w:hanging="425"/>
      </w:pPr>
      <w:rPr>
        <w:rFonts w:cs="Times New Roman" w:hint="default"/>
      </w:rPr>
    </w:lvl>
    <w:lvl w:ilvl="7">
      <w:start w:val="1"/>
      <w:numFmt w:val="upperLetter"/>
      <w:pStyle w:val="ClauseLevel9"/>
      <w:lvlText w:val="%4."/>
      <w:lvlJc w:val="left"/>
      <w:pPr>
        <w:tabs>
          <w:tab w:val="num" w:pos="-284"/>
        </w:tabs>
        <w:ind w:left="-284" w:hanging="425"/>
      </w:pPr>
      <w:rPr>
        <w:rFonts w:cs="Times New Roman" w:hint="default"/>
      </w:rPr>
    </w:lvl>
    <w:lvl w:ilvl="8">
      <w:start w:val="1"/>
      <w:numFmt w:val="upperLetter"/>
      <w:pStyle w:val="ClauseLevel10"/>
      <w:lvlText w:val="%4."/>
      <w:lvlJc w:val="left"/>
      <w:pPr>
        <w:tabs>
          <w:tab w:val="num" w:pos="-284"/>
        </w:tabs>
        <w:ind w:left="-284" w:hanging="425"/>
      </w:pPr>
      <w:rPr>
        <w:rFonts w:cs="Times New Roman" w:hint="default"/>
      </w:rPr>
    </w:lvl>
  </w:abstractNum>
  <w:abstractNum w:abstractNumId="31">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341A7533"/>
    <w:multiLevelType w:val="multilevel"/>
    <w:tmpl w:val="0E3EA696"/>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37625DD1"/>
    <w:multiLevelType w:val="hybridMultilevel"/>
    <w:tmpl w:val="B1105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899042A"/>
    <w:multiLevelType w:val="multilevel"/>
    <w:tmpl w:val="C2F4B4BA"/>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39EF5542"/>
    <w:multiLevelType w:val="multilevel"/>
    <w:tmpl w:val="19E028D0"/>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3C4D0677"/>
    <w:multiLevelType w:val="multilevel"/>
    <w:tmpl w:val="7732536C"/>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3C9267FC"/>
    <w:multiLevelType w:val="multilevel"/>
    <w:tmpl w:val="E97010CC"/>
    <w:lvl w:ilvl="0">
      <w:start w:val="1"/>
      <w:numFmt w:val="bullet"/>
      <w:lvlText w:val=""/>
      <w:lvlJc w:val="left"/>
      <w:pPr>
        <w:ind w:left="1211" w:hanging="360"/>
      </w:pPr>
      <w:rPr>
        <w:rFonts w:ascii="Symbol" w:hAnsi="Symbol" w:hint="default"/>
      </w:rPr>
    </w:lvl>
    <w:lvl w:ilvl="1">
      <w:start w:val="1"/>
      <w:numFmt w:val="bullet"/>
      <w:lvlText w:val="o"/>
      <w:lvlJc w:val="left"/>
      <w:pPr>
        <w:ind w:left="1588" w:hanging="340"/>
      </w:pPr>
      <w:rPr>
        <w:rFonts w:ascii="Courier New" w:hAnsi="Courier New" w:cs="Courier New" w:hint="default"/>
      </w:rPr>
    </w:lvl>
    <w:lvl w:ilvl="2">
      <w:start w:val="1"/>
      <w:numFmt w:val="bullet"/>
      <w:lvlText w:val=""/>
      <w:lvlJc w:val="left"/>
      <w:pPr>
        <w:ind w:left="1985" w:hanging="340"/>
      </w:pPr>
      <w:rPr>
        <w:rFonts w:ascii="Wingdings" w:hAnsi="Wingdings" w:hint="default"/>
      </w:rPr>
    </w:lvl>
    <w:lvl w:ilvl="3">
      <w:start w:val="1"/>
      <w:numFmt w:val="bullet"/>
      <w:lvlText w:val="o"/>
      <w:lvlJc w:val="left"/>
      <w:pPr>
        <w:ind w:left="2382" w:hanging="397"/>
      </w:pPr>
      <w:rPr>
        <w:rFonts w:ascii="Courier New" w:hAnsi="Courier New"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38">
    <w:nsid w:val="3D471F8D"/>
    <w:multiLevelType w:val="multilevel"/>
    <w:tmpl w:val="54B05D9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97" w:hanging="340"/>
      </w:pPr>
      <w:rPr>
        <w:rFonts w:ascii="Symbol" w:hAnsi="Symbol" w:hint="default"/>
      </w:rPr>
    </w:lvl>
    <w:lvl w:ilvl="2">
      <w:start w:val="1"/>
      <w:numFmt w:val="bullet"/>
      <w:lvlText w:val=""/>
      <w:lvlJc w:val="left"/>
      <w:pPr>
        <w:ind w:left="1494" w:hanging="340"/>
      </w:pPr>
      <w:rPr>
        <w:rFonts w:ascii="Wingdings" w:hAnsi="Wingdings" w:hint="default"/>
      </w:rPr>
    </w:lvl>
    <w:lvl w:ilvl="3">
      <w:start w:val="1"/>
      <w:numFmt w:val="bullet"/>
      <w:lvlText w:val="o"/>
      <w:lvlJc w:val="left"/>
      <w:pPr>
        <w:ind w:left="1891" w:hanging="397"/>
      </w:pPr>
      <w:rPr>
        <w:rFonts w:ascii="Courier New" w:hAnsi="Courier New"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3F282CC2"/>
    <w:multiLevelType w:val="multilevel"/>
    <w:tmpl w:val="C18EFDF6"/>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44941243"/>
    <w:multiLevelType w:val="multilevel"/>
    <w:tmpl w:val="959617D6"/>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4ED20EE8"/>
    <w:multiLevelType w:val="hybridMultilevel"/>
    <w:tmpl w:val="12E2C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569D1EFB"/>
    <w:multiLevelType w:val="multilevel"/>
    <w:tmpl w:val="8BA821E0"/>
    <w:lvl w:ilvl="0">
      <w:start w:val="1"/>
      <w:numFmt w:val="bullet"/>
      <w:lvlText w:val=""/>
      <w:lvlJc w:val="left"/>
      <w:pPr>
        <w:ind w:left="360" w:hanging="360"/>
      </w:pPr>
      <w:rPr>
        <w:rFonts w:ascii="Symbol" w:hAnsi="Symbol" w:hint="default"/>
      </w:rPr>
    </w:lvl>
    <w:lvl w:ilvl="1">
      <w:start w:val="1"/>
      <w:numFmt w:val="bullet"/>
      <w:lvlText w:val="o"/>
      <w:lvlJc w:val="left"/>
      <w:pPr>
        <w:ind w:left="624"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580B63CE"/>
    <w:multiLevelType w:val="hybridMultilevel"/>
    <w:tmpl w:val="F6084C7C"/>
    <w:lvl w:ilvl="0" w:tplc="FD9605CE">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4">
    <w:nsid w:val="59B8218A"/>
    <w:multiLevelType w:val="hybridMultilevel"/>
    <w:tmpl w:val="CFD6F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5D94350A"/>
    <w:multiLevelType w:val="multilevel"/>
    <w:tmpl w:val="D882AB2A"/>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o"/>
      <w:lvlJc w:val="left"/>
      <w:pPr>
        <w:ind w:left="766" w:hanging="340"/>
      </w:pPr>
      <w:rPr>
        <w:rFonts w:ascii="Courier New" w:hAnsi="Courier New" w:cs="Courier New"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nsid w:val="62577CB2"/>
    <w:multiLevelType w:val="multilevel"/>
    <w:tmpl w:val="18A2430A"/>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593726A"/>
    <w:multiLevelType w:val="multilevel"/>
    <w:tmpl w:val="37287D0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69F3B7B"/>
    <w:multiLevelType w:val="multilevel"/>
    <w:tmpl w:val="5FD8376A"/>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o"/>
      <w:lvlJc w:val="left"/>
      <w:pPr>
        <w:ind w:left="766" w:hanging="340"/>
      </w:pPr>
      <w:rPr>
        <w:rFonts w:ascii="Courier New" w:hAnsi="Courier New" w:cs="Courier New"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nsid w:val="67736B4C"/>
    <w:multiLevelType w:val="multilevel"/>
    <w:tmpl w:val="0E1A54C8"/>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nsid w:val="680D16FE"/>
    <w:multiLevelType w:val="hybridMultilevel"/>
    <w:tmpl w:val="699E5456"/>
    <w:lvl w:ilvl="0" w:tplc="FA54106C">
      <w:start w:val="1"/>
      <w:numFmt w:val="lowerLetter"/>
      <w:pStyle w:val="alphabetpoint"/>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2">
    <w:nsid w:val="69F77099"/>
    <w:multiLevelType w:val="hybridMultilevel"/>
    <w:tmpl w:val="6582991C"/>
    <w:lvl w:ilvl="0" w:tplc="0C09000F">
      <w:start w:val="1"/>
      <w:numFmt w:val="decimal"/>
      <w:lvlText w:val="%1."/>
      <w:lvlJc w:val="left"/>
      <w:pPr>
        <w:ind w:left="67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B351EAE"/>
    <w:multiLevelType w:val="hybridMultilevel"/>
    <w:tmpl w:val="6840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0CC0847"/>
    <w:multiLevelType w:val="multilevel"/>
    <w:tmpl w:val="98E4D336"/>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nsid w:val="713A20C8"/>
    <w:multiLevelType w:val="multilevel"/>
    <w:tmpl w:val="C18EFDF6"/>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nsid w:val="71964E73"/>
    <w:multiLevelType w:val="multilevel"/>
    <w:tmpl w:val="C54CA7AE"/>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nsid w:val="72A4568D"/>
    <w:multiLevelType w:val="hybridMultilevel"/>
    <w:tmpl w:val="59B01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59">
    <w:nsid w:val="7A130F9B"/>
    <w:multiLevelType w:val="multilevel"/>
    <w:tmpl w:val="15C68FA6"/>
    <w:lvl w:ilvl="0">
      <w:start w:val="1"/>
      <w:numFmt w:val="bullet"/>
      <w:pStyle w:val="Bullet1"/>
      <w:lvlText w:val=""/>
      <w:lvlJc w:val="left"/>
      <w:pPr>
        <w:ind w:left="1277" w:hanging="851"/>
      </w:pPr>
      <w:rPr>
        <w:rFonts w:ascii="Symbol" w:hAnsi="Symbol" w:hint="default"/>
        <w:sz w:val="22"/>
        <w:szCs w:val="22"/>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o"/>
      <w:lvlJc w:val="left"/>
      <w:pPr>
        <w:tabs>
          <w:tab w:val="num" w:pos="1593"/>
        </w:tabs>
        <w:ind w:left="1593" w:hanging="360"/>
      </w:pPr>
      <w:rPr>
        <w:rFonts w:ascii="Courier New" w:hAnsi="Courier New" w:cs="Courier New"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60">
    <w:nsid w:val="7C425280"/>
    <w:multiLevelType w:val="multilevel"/>
    <w:tmpl w:val="A0349252"/>
    <w:lvl w:ilvl="0">
      <w:start w:val="1"/>
      <w:numFmt w:val="bullet"/>
      <w:lvlText w:val=""/>
      <w:lvlJc w:val="left"/>
      <w:pPr>
        <w:ind w:left="360" w:hanging="360"/>
      </w:pPr>
      <w:rPr>
        <w:rFonts w:ascii="Symbol" w:hAnsi="Symbol" w:hint="default"/>
      </w:rPr>
    </w:lvl>
    <w:lvl w:ilvl="1">
      <w:start w:val="1"/>
      <w:numFmt w:val="bullet"/>
      <w:lvlText w:val="o"/>
      <w:lvlJc w:val="left"/>
      <w:pPr>
        <w:ind w:left="737" w:hanging="340"/>
      </w:pPr>
      <w:rPr>
        <w:rFonts w:ascii="Courier New" w:hAnsi="Courier New" w:cs="Courier New"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5"/>
    <w:lvlOverride w:ilvl="0">
      <w:lvl w:ilvl="0">
        <w:start w:val="1"/>
        <w:numFmt w:val="bullet"/>
        <w:pStyle w:val="ListBullet"/>
        <w:lvlText w:val=""/>
        <w:lvlJc w:val="left"/>
        <w:pPr>
          <w:ind w:left="360" w:hanging="360"/>
        </w:pPr>
        <w:rPr>
          <w:rFonts w:ascii="Symbol" w:hAnsi="Symbol" w:hint="default"/>
          <w:color w:val="auto"/>
        </w:rPr>
      </w:lvl>
    </w:lvlOverride>
  </w:num>
  <w:num w:numId="4">
    <w:abstractNumId w:val="59"/>
  </w:num>
  <w:num w:numId="5">
    <w:abstractNumId w:val="6"/>
  </w:num>
  <w:num w:numId="6">
    <w:abstractNumId w:val="0"/>
  </w:num>
  <w:num w:numId="7">
    <w:abstractNumId w:val="13"/>
  </w:num>
  <w:num w:numId="8">
    <w:abstractNumId w:val="5"/>
  </w:num>
  <w:num w:numId="9">
    <w:abstractNumId w:val="2"/>
  </w:num>
  <w:num w:numId="10">
    <w:abstractNumId w:val="47"/>
  </w:num>
  <w:num w:numId="11">
    <w:abstractNumId w:val="1"/>
  </w:num>
  <w:num w:numId="12">
    <w:abstractNumId w:val="58"/>
  </w:num>
  <w:num w:numId="13">
    <w:abstractNumId w:val="4"/>
  </w:num>
  <w:num w:numId="14">
    <w:abstractNumId w:val="30"/>
  </w:num>
  <w:num w:numId="15">
    <w:abstractNumId w:val="3"/>
  </w:num>
  <w:num w:numId="16">
    <w:abstractNumId w:val="25"/>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23"/>
  </w:num>
  <w:num w:numId="21">
    <w:abstractNumId w:val="21"/>
  </w:num>
  <w:num w:numId="2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43"/>
  </w:num>
  <w:num w:numId="25">
    <w:abstractNumId w:val="33"/>
  </w:num>
  <w:num w:numId="26">
    <w:abstractNumId w:val="18"/>
  </w:num>
  <w:num w:numId="27">
    <w:abstractNumId w:val="49"/>
  </w:num>
  <w:num w:numId="28">
    <w:abstractNumId w:val="45"/>
  </w:num>
  <w:num w:numId="29">
    <w:abstractNumId w:val="17"/>
  </w:num>
  <w:num w:numId="30">
    <w:abstractNumId w:val="25"/>
    <w:lvlOverride w:ilvl="0">
      <w:startOverride w:val="1"/>
    </w:lvlOverride>
  </w:num>
  <w:num w:numId="31">
    <w:abstractNumId w:val="51"/>
    <w:lvlOverride w:ilvl="0">
      <w:startOverride w:val="1"/>
    </w:lvlOverride>
  </w:num>
  <w:num w:numId="32">
    <w:abstractNumId w:val="8"/>
  </w:num>
  <w:num w:numId="33">
    <w:abstractNumId w:val="38"/>
  </w:num>
  <w:num w:numId="34">
    <w:abstractNumId w:val="15"/>
  </w:num>
  <w:num w:numId="35">
    <w:abstractNumId w:val="28"/>
  </w:num>
  <w:num w:numId="36">
    <w:abstractNumId w:val="37"/>
  </w:num>
  <w:num w:numId="37">
    <w:abstractNumId w:val="16"/>
  </w:num>
  <w:num w:numId="38">
    <w:abstractNumId w:val="39"/>
  </w:num>
  <w:num w:numId="39">
    <w:abstractNumId w:val="40"/>
  </w:num>
  <w:num w:numId="40">
    <w:abstractNumId w:val="11"/>
  </w:num>
  <w:num w:numId="41">
    <w:abstractNumId w:val="12"/>
  </w:num>
  <w:num w:numId="42">
    <w:abstractNumId w:val="14"/>
  </w:num>
  <w:num w:numId="43">
    <w:abstractNumId w:val="10"/>
  </w:num>
  <w:num w:numId="44">
    <w:abstractNumId w:val="60"/>
  </w:num>
  <w:num w:numId="45">
    <w:abstractNumId w:val="35"/>
  </w:num>
  <w:num w:numId="46">
    <w:abstractNumId w:val="7"/>
  </w:num>
  <w:num w:numId="47">
    <w:abstractNumId w:val="54"/>
  </w:num>
  <w:num w:numId="48">
    <w:abstractNumId w:val="32"/>
  </w:num>
  <w:num w:numId="49">
    <w:abstractNumId w:val="56"/>
  </w:num>
  <w:num w:numId="50">
    <w:abstractNumId w:val="46"/>
  </w:num>
  <w:num w:numId="51">
    <w:abstractNumId w:val="20"/>
  </w:num>
  <w:num w:numId="52">
    <w:abstractNumId w:val="34"/>
  </w:num>
  <w:num w:numId="53">
    <w:abstractNumId w:val="42"/>
  </w:num>
  <w:num w:numId="54">
    <w:abstractNumId w:val="50"/>
  </w:num>
  <w:num w:numId="55">
    <w:abstractNumId w:val="36"/>
  </w:num>
  <w:num w:numId="56">
    <w:abstractNumId w:val="55"/>
  </w:num>
  <w:num w:numId="57">
    <w:abstractNumId w:val="25"/>
    <w:lvlOverride w:ilvl="0">
      <w:startOverride w:val="1"/>
    </w:lvlOverride>
  </w:num>
  <w:num w:numId="58">
    <w:abstractNumId w:val="57"/>
  </w:num>
  <w:num w:numId="59">
    <w:abstractNumId w:val="19"/>
  </w:num>
  <w:num w:numId="60">
    <w:abstractNumId w:val="29"/>
  </w:num>
  <w:num w:numId="61">
    <w:abstractNumId w:val="26"/>
  </w:num>
  <w:num w:numId="62">
    <w:abstractNumId w:val="27"/>
  </w:num>
  <w:num w:numId="63">
    <w:abstractNumId w:val="55"/>
    <w:lvlOverride w:ilvl="0">
      <w:lvl w:ilvl="0">
        <w:start w:val="1"/>
        <w:numFmt w:val="bullet"/>
        <w:pStyle w:val="ListBullet"/>
        <w:lvlText w:val=""/>
        <w:lvlJc w:val="left"/>
        <w:pPr>
          <w:ind w:left="360" w:hanging="360"/>
        </w:pPr>
        <w:rPr>
          <w:rFonts w:ascii="Symbol" w:hAnsi="Symbol" w:hint="default"/>
          <w:color w:val="auto"/>
        </w:rPr>
      </w:lvl>
    </w:lvlOverride>
    <w:lvlOverride w:ilvl="1">
      <w:lvl w:ilvl="1">
        <w:numFmt w:val="decimal"/>
        <w:pStyle w:val="ListBullet2"/>
        <w:lvlText w:val=""/>
        <w:lvlJc w:val="left"/>
      </w:lvl>
    </w:lvlOverride>
    <w:lvlOverride w:ilvl="2">
      <w:lvl w:ilvl="2">
        <w:numFmt w:val="decimal"/>
        <w:pStyle w:val="ListBullet3"/>
        <w:lvlText w:val=""/>
        <w:lvlJc w:val="left"/>
      </w:lvl>
    </w:lvlOverride>
    <w:lvlOverride w:ilvl="3">
      <w:lvl w:ilvl="3">
        <w:numFmt w:val="decimal"/>
        <w:pStyle w:val="ListBullet4"/>
        <w:lvlText w:val=""/>
        <w:lvlJc w:val="left"/>
      </w:lvl>
    </w:lvlOverride>
    <w:lvlOverride w:ilvl="4">
      <w:lvl w:ilvl="4">
        <w:numFmt w:val="decimal"/>
        <w:pStyle w:val="ListBullet5"/>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4">
    <w:abstractNumId w:val="22"/>
  </w:num>
  <w:num w:numId="65">
    <w:abstractNumId w:val="44"/>
  </w:num>
  <w:num w:numId="66">
    <w:abstractNumId w:val="51"/>
    <w:lvlOverride w:ilvl="0">
      <w:startOverride w:val="1"/>
    </w:lvlOverride>
  </w:num>
  <w:num w:numId="67">
    <w:abstractNumId w:val="24"/>
  </w:num>
  <w:num w:numId="68">
    <w:abstractNumId w:val="51"/>
    <w:lvlOverride w:ilvl="0">
      <w:startOverride w:val="1"/>
    </w:lvlOverride>
  </w:num>
  <w:num w:numId="69">
    <w:abstractNumId w:val="51"/>
    <w:lvlOverride w:ilvl="0">
      <w:startOverride w:val="1"/>
    </w:lvlOverride>
  </w:num>
  <w:num w:numId="70">
    <w:abstractNumId w:val="51"/>
    <w:lvlOverride w:ilvl="0">
      <w:startOverride w:val="1"/>
    </w:lvlOverride>
  </w:num>
  <w:num w:numId="71">
    <w:abstractNumId w:val="48"/>
  </w:num>
  <w:num w:numId="72">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E6"/>
    <w:rsid w:val="000008FD"/>
    <w:rsid w:val="00000F8C"/>
    <w:rsid w:val="00001A2B"/>
    <w:rsid w:val="00002572"/>
    <w:rsid w:val="00002BFC"/>
    <w:rsid w:val="00003347"/>
    <w:rsid w:val="0000334F"/>
    <w:rsid w:val="0000409D"/>
    <w:rsid w:val="00005F12"/>
    <w:rsid w:val="00007C46"/>
    <w:rsid w:val="00011B91"/>
    <w:rsid w:val="000136BC"/>
    <w:rsid w:val="000138A2"/>
    <w:rsid w:val="00015596"/>
    <w:rsid w:val="00020A05"/>
    <w:rsid w:val="00026D05"/>
    <w:rsid w:val="000275A1"/>
    <w:rsid w:val="00027F5B"/>
    <w:rsid w:val="00032A77"/>
    <w:rsid w:val="00032D06"/>
    <w:rsid w:val="00033A42"/>
    <w:rsid w:val="000370E0"/>
    <w:rsid w:val="0004049E"/>
    <w:rsid w:val="0004431E"/>
    <w:rsid w:val="00046D0F"/>
    <w:rsid w:val="00047125"/>
    <w:rsid w:val="00047AD3"/>
    <w:rsid w:val="000514C5"/>
    <w:rsid w:val="000522FE"/>
    <w:rsid w:val="00052C70"/>
    <w:rsid w:val="00061E3C"/>
    <w:rsid w:val="00062613"/>
    <w:rsid w:val="00062D17"/>
    <w:rsid w:val="00063FCA"/>
    <w:rsid w:val="00064B34"/>
    <w:rsid w:val="000671E4"/>
    <w:rsid w:val="00070997"/>
    <w:rsid w:val="00073249"/>
    <w:rsid w:val="00074975"/>
    <w:rsid w:val="0007629C"/>
    <w:rsid w:val="000775A9"/>
    <w:rsid w:val="00081540"/>
    <w:rsid w:val="000873C3"/>
    <w:rsid w:val="000923FD"/>
    <w:rsid w:val="00094566"/>
    <w:rsid w:val="000949CB"/>
    <w:rsid w:val="000957E3"/>
    <w:rsid w:val="00096321"/>
    <w:rsid w:val="00097614"/>
    <w:rsid w:val="00097FE9"/>
    <w:rsid w:val="000A005B"/>
    <w:rsid w:val="000A0251"/>
    <w:rsid w:val="000B2482"/>
    <w:rsid w:val="000B2F97"/>
    <w:rsid w:val="000B3602"/>
    <w:rsid w:val="000B5348"/>
    <w:rsid w:val="000C0C74"/>
    <w:rsid w:val="000C2348"/>
    <w:rsid w:val="000C2ED5"/>
    <w:rsid w:val="000C58DC"/>
    <w:rsid w:val="000C6A77"/>
    <w:rsid w:val="000D2060"/>
    <w:rsid w:val="000D3B6E"/>
    <w:rsid w:val="000D6F96"/>
    <w:rsid w:val="000D7ED5"/>
    <w:rsid w:val="000E1D56"/>
    <w:rsid w:val="000E398B"/>
    <w:rsid w:val="000E3CB9"/>
    <w:rsid w:val="000E3EB5"/>
    <w:rsid w:val="000E4F9A"/>
    <w:rsid w:val="000E555C"/>
    <w:rsid w:val="000F3B8D"/>
    <w:rsid w:val="000F558C"/>
    <w:rsid w:val="000F7140"/>
    <w:rsid w:val="0010395A"/>
    <w:rsid w:val="00104C47"/>
    <w:rsid w:val="00104DC7"/>
    <w:rsid w:val="001052E2"/>
    <w:rsid w:val="0010643A"/>
    <w:rsid w:val="00106C37"/>
    <w:rsid w:val="00107663"/>
    <w:rsid w:val="00113C98"/>
    <w:rsid w:val="00115DEB"/>
    <w:rsid w:val="00116A1A"/>
    <w:rsid w:val="00120FF5"/>
    <w:rsid w:val="0012240F"/>
    <w:rsid w:val="0013125E"/>
    <w:rsid w:val="00132E0D"/>
    <w:rsid w:val="0013581D"/>
    <w:rsid w:val="00136EE9"/>
    <w:rsid w:val="00137372"/>
    <w:rsid w:val="00137927"/>
    <w:rsid w:val="001466DA"/>
    <w:rsid w:val="001469B3"/>
    <w:rsid w:val="00147281"/>
    <w:rsid w:val="0015028F"/>
    <w:rsid w:val="00150F6C"/>
    <w:rsid w:val="001514C2"/>
    <w:rsid w:val="00153998"/>
    <w:rsid w:val="00154F73"/>
    <w:rsid w:val="00155124"/>
    <w:rsid w:val="001613DF"/>
    <w:rsid w:val="0016506E"/>
    <w:rsid w:val="001674AF"/>
    <w:rsid w:val="0016765E"/>
    <w:rsid w:val="001678DC"/>
    <w:rsid w:val="00172BBC"/>
    <w:rsid w:val="001765DC"/>
    <w:rsid w:val="0017660C"/>
    <w:rsid w:val="0018028C"/>
    <w:rsid w:val="00180EA0"/>
    <w:rsid w:val="0018199A"/>
    <w:rsid w:val="00183431"/>
    <w:rsid w:val="0018434D"/>
    <w:rsid w:val="00184624"/>
    <w:rsid w:val="00184A47"/>
    <w:rsid w:val="00185586"/>
    <w:rsid w:val="001864F5"/>
    <w:rsid w:val="00190D5A"/>
    <w:rsid w:val="001924F4"/>
    <w:rsid w:val="00192748"/>
    <w:rsid w:val="00195ABC"/>
    <w:rsid w:val="001A0DE8"/>
    <w:rsid w:val="001A18B0"/>
    <w:rsid w:val="001A234B"/>
    <w:rsid w:val="001A2FCE"/>
    <w:rsid w:val="001A35A1"/>
    <w:rsid w:val="001A4511"/>
    <w:rsid w:val="001A4F3E"/>
    <w:rsid w:val="001A6C77"/>
    <w:rsid w:val="001A7160"/>
    <w:rsid w:val="001B42E1"/>
    <w:rsid w:val="001C19FA"/>
    <w:rsid w:val="001C1CBF"/>
    <w:rsid w:val="001C4184"/>
    <w:rsid w:val="001D06CD"/>
    <w:rsid w:val="001D0A3B"/>
    <w:rsid w:val="001D10AB"/>
    <w:rsid w:val="001D20A6"/>
    <w:rsid w:val="001D3E54"/>
    <w:rsid w:val="001D6274"/>
    <w:rsid w:val="001D7DE1"/>
    <w:rsid w:val="001E41A0"/>
    <w:rsid w:val="001E74E9"/>
    <w:rsid w:val="001E7644"/>
    <w:rsid w:val="001F16FF"/>
    <w:rsid w:val="001F3E70"/>
    <w:rsid w:val="001F442A"/>
    <w:rsid w:val="001F4530"/>
    <w:rsid w:val="001F6A4D"/>
    <w:rsid w:val="00202880"/>
    <w:rsid w:val="0020293D"/>
    <w:rsid w:val="00202DD4"/>
    <w:rsid w:val="00203C5D"/>
    <w:rsid w:val="00207395"/>
    <w:rsid w:val="00210657"/>
    <w:rsid w:val="0021611E"/>
    <w:rsid w:val="00217642"/>
    <w:rsid w:val="002209EB"/>
    <w:rsid w:val="00220B2E"/>
    <w:rsid w:val="0022237A"/>
    <w:rsid w:val="00222D58"/>
    <w:rsid w:val="0022664D"/>
    <w:rsid w:val="00227F5B"/>
    <w:rsid w:val="002312F4"/>
    <w:rsid w:val="002329D7"/>
    <w:rsid w:val="00234C52"/>
    <w:rsid w:val="0023520E"/>
    <w:rsid w:val="00235A69"/>
    <w:rsid w:val="0024040E"/>
    <w:rsid w:val="00240A7F"/>
    <w:rsid w:val="00243258"/>
    <w:rsid w:val="00243885"/>
    <w:rsid w:val="00243FB8"/>
    <w:rsid w:val="002472D7"/>
    <w:rsid w:val="002478CE"/>
    <w:rsid w:val="002507EE"/>
    <w:rsid w:val="00253652"/>
    <w:rsid w:val="00253E1E"/>
    <w:rsid w:val="0025627C"/>
    <w:rsid w:val="00257B50"/>
    <w:rsid w:val="0026169D"/>
    <w:rsid w:val="00265337"/>
    <w:rsid w:val="002663D4"/>
    <w:rsid w:val="0026782C"/>
    <w:rsid w:val="0027590D"/>
    <w:rsid w:val="002778DA"/>
    <w:rsid w:val="00280CED"/>
    <w:rsid w:val="00280FFD"/>
    <w:rsid w:val="00281657"/>
    <w:rsid w:val="00281C13"/>
    <w:rsid w:val="00281FDD"/>
    <w:rsid w:val="00282936"/>
    <w:rsid w:val="0028352B"/>
    <w:rsid w:val="0028499D"/>
    <w:rsid w:val="00286A08"/>
    <w:rsid w:val="00287AB4"/>
    <w:rsid w:val="00291528"/>
    <w:rsid w:val="00291EBA"/>
    <w:rsid w:val="00293C00"/>
    <w:rsid w:val="0029715A"/>
    <w:rsid w:val="002A43BE"/>
    <w:rsid w:val="002A43C1"/>
    <w:rsid w:val="002A6A88"/>
    <w:rsid w:val="002A6D4B"/>
    <w:rsid w:val="002B015A"/>
    <w:rsid w:val="002B2E7C"/>
    <w:rsid w:val="002B40F6"/>
    <w:rsid w:val="002B54F5"/>
    <w:rsid w:val="002B6E9A"/>
    <w:rsid w:val="002B702C"/>
    <w:rsid w:val="002C3189"/>
    <w:rsid w:val="002C3362"/>
    <w:rsid w:val="002C35EF"/>
    <w:rsid w:val="002C6614"/>
    <w:rsid w:val="002C6AB3"/>
    <w:rsid w:val="002C6EA5"/>
    <w:rsid w:val="002D40F7"/>
    <w:rsid w:val="002D544F"/>
    <w:rsid w:val="002D5803"/>
    <w:rsid w:val="002D7987"/>
    <w:rsid w:val="002E211A"/>
    <w:rsid w:val="002E25C8"/>
    <w:rsid w:val="002E41EA"/>
    <w:rsid w:val="002E48AD"/>
    <w:rsid w:val="002E493E"/>
    <w:rsid w:val="002F2885"/>
    <w:rsid w:val="002F3229"/>
    <w:rsid w:val="002F5E55"/>
    <w:rsid w:val="002F674E"/>
    <w:rsid w:val="0030557C"/>
    <w:rsid w:val="003059B7"/>
    <w:rsid w:val="00305E39"/>
    <w:rsid w:val="00306F87"/>
    <w:rsid w:val="00311690"/>
    <w:rsid w:val="00313AD3"/>
    <w:rsid w:val="00314DDA"/>
    <w:rsid w:val="00315538"/>
    <w:rsid w:val="00317A88"/>
    <w:rsid w:val="003208BF"/>
    <w:rsid w:val="00325729"/>
    <w:rsid w:val="00327304"/>
    <w:rsid w:val="00335154"/>
    <w:rsid w:val="00344253"/>
    <w:rsid w:val="003450F8"/>
    <w:rsid w:val="00345290"/>
    <w:rsid w:val="00345D66"/>
    <w:rsid w:val="00345E89"/>
    <w:rsid w:val="00347827"/>
    <w:rsid w:val="003504AC"/>
    <w:rsid w:val="00350DDA"/>
    <w:rsid w:val="003511F2"/>
    <w:rsid w:val="00353258"/>
    <w:rsid w:val="003535ED"/>
    <w:rsid w:val="0035557F"/>
    <w:rsid w:val="00356303"/>
    <w:rsid w:val="00360096"/>
    <w:rsid w:val="00361406"/>
    <w:rsid w:val="00362D2F"/>
    <w:rsid w:val="0036442E"/>
    <w:rsid w:val="00365F88"/>
    <w:rsid w:val="00365FCD"/>
    <w:rsid w:val="003667E7"/>
    <w:rsid w:val="00372A57"/>
    <w:rsid w:val="00373C26"/>
    <w:rsid w:val="00374CAB"/>
    <w:rsid w:val="0037550D"/>
    <w:rsid w:val="0037577F"/>
    <w:rsid w:val="00375A0A"/>
    <w:rsid w:val="00375E3E"/>
    <w:rsid w:val="003837EC"/>
    <w:rsid w:val="00383AFA"/>
    <w:rsid w:val="003861F7"/>
    <w:rsid w:val="003872F0"/>
    <w:rsid w:val="0038732F"/>
    <w:rsid w:val="00392118"/>
    <w:rsid w:val="00392DF3"/>
    <w:rsid w:val="003935F4"/>
    <w:rsid w:val="003943E5"/>
    <w:rsid w:val="003A0296"/>
    <w:rsid w:val="003A1E3D"/>
    <w:rsid w:val="003A25D9"/>
    <w:rsid w:val="003A2A37"/>
    <w:rsid w:val="003A3715"/>
    <w:rsid w:val="003A3A54"/>
    <w:rsid w:val="003A6287"/>
    <w:rsid w:val="003A657B"/>
    <w:rsid w:val="003B12D3"/>
    <w:rsid w:val="003B35E2"/>
    <w:rsid w:val="003B3ADD"/>
    <w:rsid w:val="003B3B6B"/>
    <w:rsid w:val="003C110F"/>
    <w:rsid w:val="003C38D6"/>
    <w:rsid w:val="003C51F7"/>
    <w:rsid w:val="003C648C"/>
    <w:rsid w:val="003C6E14"/>
    <w:rsid w:val="003C7087"/>
    <w:rsid w:val="003C72BD"/>
    <w:rsid w:val="003C77BA"/>
    <w:rsid w:val="003D0828"/>
    <w:rsid w:val="003D10B6"/>
    <w:rsid w:val="003D1646"/>
    <w:rsid w:val="003D4B93"/>
    <w:rsid w:val="003D7B8A"/>
    <w:rsid w:val="003E06CD"/>
    <w:rsid w:val="003E1D3C"/>
    <w:rsid w:val="003E66B8"/>
    <w:rsid w:val="003F0E69"/>
    <w:rsid w:val="003F2CB5"/>
    <w:rsid w:val="003F4446"/>
    <w:rsid w:val="003F4892"/>
    <w:rsid w:val="003F6CD7"/>
    <w:rsid w:val="00405CC6"/>
    <w:rsid w:val="004079A4"/>
    <w:rsid w:val="00407B6B"/>
    <w:rsid w:val="00411670"/>
    <w:rsid w:val="0041365D"/>
    <w:rsid w:val="00417417"/>
    <w:rsid w:val="004222DE"/>
    <w:rsid w:val="00425FA1"/>
    <w:rsid w:val="00427ACC"/>
    <w:rsid w:val="004317C0"/>
    <w:rsid w:val="0043268E"/>
    <w:rsid w:val="00435D26"/>
    <w:rsid w:val="00440D35"/>
    <w:rsid w:val="004423A1"/>
    <w:rsid w:val="0044546B"/>
    <w:rsid w:val="0044609E"/>
    <w:rsid w:val="00454DDC"/>
    <w:rsid w:val="00454ED5"/>
    <w:rsid w:val="00456357"/>
    <w:rsid w:val="00461C7D"/>
    <w:rsid w:val="00463BE3"/>
    <w:rsid w:val="0046696E"/>
    <w:rsid w:val="00466B9C"/>
    <w:rsid w:val="00467446"/>
    <w:rsid w:val="00471F90"/>
    <w:rsid w:val="0047460C"/>
    <w:rsid w:val="00474BC4"/>
    <w:rsid w:val="00481B70"/>
    <w:rsid w:val="0048208D"/>
    <w:rsid w:val="00482210"/>
    <w:rsid w:val="004830C4"/>
    <w:rsid w:val="004835D3"/>
    <w:rsid w:val="00484601"/>
    <w:rsid w:val="0048492C"/>
    <w:rsid w:val="00490212"/>
    <w:rsid w:val="0049154F"/>
    <w:rsid w:val="00496AE3"/>
    <w:rsid w:val="00497B49"/>
    <w:rsid w:val="004A0688"/>
    <w:rsid w:val="004A1E69"/>
    <w:rsid w:val="004B0374"/>
    <w:rsid w:val="004B26B8"/>
    <w:rsid w:val="004B58D5"/>
    <w:rsid w:val="004C11CB"/>
    <w:rsid w:val="004C2B5C"/>
    <w:rsid w:val="004C2DAB"/>
    <w:rsid w:val="004C33DD"/>
    <w:rsid w:val="004C4845"/>
    <w:rsid w:val="004C51FC"/>
    <w:rsid w:val="004C555C"/>
    <w:rsid w:val="004C64FE"/>
    <w:rsid w:val="004D1BCB"/>
    <w:rsid w:val="004D2501"/>
    <w:rsid w:val="004D2B37"/>
    <w:rsid w:val="004D43F6"/>
    <w:rsid w:val="004D4BBF"/>
    <w:rsid w:val="004D5079"/>
    <w:rsid w:val="004D5922"/>
    <w:rsid w:val="004D6B89"/>
    <w:rsid w:val="004E0B77"/>
    <w:rsid w:val="004E1D45"/>
    <w:rsid w:val="004E5899"/>
    <w:rsid w:val="004F0456"/>
    <w:rsid w:val="004F6CCE"/>
    <w:rsid w:val="00503970"/>
    <w:rsid w:val="00504F67"/>
    <w:rsid w:val="00505611"/>
    <w:rsid w:val="00506388"/>
    <w:rsid w:val="005107D4"/>
    <w:rsid w:val="00514643"/>
    <w:rsid w:val="00515EE2"/>
    <w:rsid w:val="00516188"/>
    <w:rsid w:val="005164DF"/>
    <w:rsid w:val="005171B0"/>
    <w:rsid w:val="005171E7"/>
    <w:rsid w:val="00520EE3"/>
    <w:rsid w:val="00525ABB"/>
    <w:rsid w:val="00525FC8"/>
    <w:rsid w:val="00526056"/>
    <w:rsid w:val="00527E45"/>
    <w:rsid w:val="005303AC"/>
    <w:rsid w:val="00533BA3"/>
    <w:rsid w:val="005377A2"/>
    <w:rsid w:val="00541542"/>
    <w:rsid w:val="005455F8"/>
    <w:rsid w:val="005459A0"/>
    <w:rsid w:val="00545D2D"/>
    <w:rsid w:val="005461D4"/>
    <w:rsid w:val="005461DB"/>
    <w:rsid w:val="00546887"/>
    <w:rsid w:val="0054701A"/>
    <w:rsid w:val="0054791C"/>
    <w:rsid w:val="0055240F"/>
    <w:rsid w:val="00552553"/>
    <w:rsid w:val="00560060"/>
    <w:rsid w:val="0056125B"/>
    <w:rsid w:val="00561D51"/>
    <w:rsid w:val="005642B1"/>
    <w:rsid w:val="005661BD"/>
    <w:rsid w:val="0056749B"/>
    <w:rsid w:val="0057048B"/>
    <w:rsid w:val="005707AE"/>
    <w:rsid w:val="00570B11"/>
    <w:rsid w:val="00572874"/>
    <w:rsid w:val="005728FD"/>
    <w:rsid w:val="00572ACF"/>
    <w:rsid w:val="00572ECB"/>
    <w:rsid w:val="00574A3D"/>
    <w:rsid w:val="00575262"/>
    <w:rsid w:val="00575E9D"/>
    <w:rsid w:val="0058027C"/>
    <w:rsid w:val="00580EBF"/>
    <w:rsid w:val="0058233A"/>
    <w:rsid w:val="005831FA"/>
    <w:rsid w:val="005869D9"/>
    <w:rsid w:val="00591F77"/>
    <w:rsid w:val="00593F0F"/>
    <w:rsid w:val="00594984"/>
    <w:rsid w:val="00596137"/>
    <w:rsid w:val="005A22EE"/>
    <w:rsid w:val="005A342D"/>
    <w:rsid w:val="005A6F65"/>
    <w:rsid w:val="005B091C"/>
    <w:rsid w:val="005B4AF7"/>
    <w:rsid w:val="005C3B23"/>
    <w:rsid w:val="005C5C73"/>
    <w:rsid w:val="005C79FB"/>
    <w:rsid w:val="005D215E"/>
    <w:rsid w:val="005D297A"/>
    <w:rsid w:val="005D2E7F"/>
    <w:rsid w:val="005D30B9"/>
    <w:rsid w:val="005D3F5A"/>
    <w:rsid w:val="005D485E"/>
    <w:rsid w:val="005D5624"/>
    <w:rsid w:val="005D6EA6"/>
    <w:rsid w:val="005D7211"/>
    <w:rsid w:val="005E2B76"/>
    <w:rsid w:val="005E624F"/>
    <w:rsid w:val="005E6F33"/>
    <w:rsid w:val="005E75FC"/>
    <w:rsid w:val="005F076C"/>
    <w:rsid w:val="005F300B"/>
    <w:rsid w:val="005F4ABD"/>
    <w:rsid w:val="0060721D"/>
    <w:rsid w:val="00607C4E"/>
    <w:rsid w:val="00607DD4"/>
    <w:rsid w:val="00625702"/>
    <w:rsid w:val="006351EB"/>
    <w:rsid w:val="00635C82"/>
    <w:rsid w:val="00635D45"/>
    <w:rsid w:val="00636CDC"/>
    <w:rsid w:val="00637704"/>
    <w:rsid w:val="00640408"/>
    <w:rsid w:val="006423FF"/>
    <w:rsid w:val="0064306A"/>
    <w:rsid w:val="00643B2E"/>
    <w:rsid w:val="00647AAD"/>
    <w:rsid w:val="0065039C"/>
    <w:rsid w:val="006513F6"/>
    <w:rsid w:val="00651E26"/>
    <w:rsid w:val="00651EA8"/>
    <w:rsid w:val="006521AD"/>
    <w:rsid w:val="006576E6"/>
    <w:rsid w:val="00661B71"/>
    <w:rsid w:val="00661D9B"/>
    <w:rsid w:val="006625F7"/>
    <w:rsid w:val="00664CB1"/>
    <w:rsid w:val="00665EAE"/>
    <w:rsid w:val="00666087"/>
    <w:rsid w:val="00670F5F"/>
    <w:rsid w:val="00672F44"/>
    <w:rsid w:val="00675426"/>
    <w:rsid w:val="006762C5"/>
    <w:rsid w:val="006800B5"/>
    <w:rsid w:val="00683D25"/>
    <w:rsid w:val="00684EFE"/>
    <w:rsid w:val="00684FA7"/>
    <w:rsid w:val="0068765F"/>
    <w:rsid w:val="006902DA"/>
    <w:rsid w:val="006935D5"/>
    <w:rsid w:val="00695D63"/>
    <w:rsid w:val="006A01A1"/>
    <w:rsid w:val="006A32D5"/>
    <w:rsid w:val="006A54AA"/>
    <w:rsid w:val="006A55A2"/>
    <w:rsid w:val="006A5B7C"/>
    <w:rsid w:val="006A670F"/>
    <w:rsid w:val="006A7A74"/>
    <w:rsid w:val="006B035E"/>
    <w:rsid w:val="006B13D0"/>
    <w:rsid w:val="006B20D6"/>
    <w:rsid w:val="006B4435"/>
    <w:rsid w:val="006B65B9"/>
    <w:rsid w:val="006C1B7E"/>
    <w:rsid w:val="006C40DA"/>
    <w:rsid w:val="006D0230"/>
    <w:rsid w:val="006D19A7"/>
    <w:rsid w:val="006D22F2"/>
    <w:rsid w:val="006D32CB"/>
    <w:rsid w:val="006E0F39"/>
    <w:rsid w:val="006E4DDE"/>
    <w:rsid w:val="006E62BF"/>
    <w:rsid w:val="006F1E91"/>
    <w:rsid w:val="006F5825"/>
    <w:rsid w:val="006F629E"/>
    <w:rsid w:val="006F6AB6"/>
    <w:rsid w:val="00703812"/>
    <w:rsid w:val="00705195"/>
    <w:rsid w:val="0070750F"/>
    <w:rsid w:val="0071003F"/>
    <w:rsid w:val="0071180D"/>
    <w:rsid w:val="00712D34"/>
    <w:rsid w:val="00721203"/>
    <w:rsid w:val="00721254"/>
    <w:rsid w:val="007228C7"/>
    <w:rsid w:val="007248A8"/>
    <w:rsid w:val="007271CF"/>
    <w:rsid w:val="00727ADB"/>
    <w:rsid w:val="00730428"/>
    <w:rsid w:val="0073329E"/>
    <w:rsid w:val="007349F2"/>
    <w:rsid w:val="00740514"/>
    <w:rsid w:val="0074390C"/>
    <w:rsid w:val="007445D5"/>
    <w:rsid w:val="00744774"/>
    <w:rsid w:val="00744A49"/>
    <w:rsid w:val="00746CA0"/>
    <w:rsid w:val="0075084A"/>
    <w:rsid w:val="007512A6"/>
    <w:rsid w:val="007528CF"/>
    <w:rsid w:val="00752DEB"/>
    <w:rsid w:val="00755E6A"/>
    <w:rsid w:val="00757D80"/>
    <w:rsid w:val="0076038F"/>
    <w:rsid w:val="007613B9"/>
    <w:rsid w:val="007645D9"/>
    <w:rsid w:val="00764693"/>
    <w:rsid w:val="00764F2B"/>
    <w:rsid w:val="007657DB"/>
    <w:rsid w:val="0076648A"/>
    <w:rsid w:val="00771F52"/>
    <w:rsid w:val="00774E3B"/>
    <w:rsid w:val="00782088"/>
    <w:rsid w:val="0078589D"/>
    <w:rsid w:val="007865E7"/>
    <w:rsid w:val="0079499C"/>
    <w:rsid w:val="007A1EBA"/>
    <w:rsid w:val="007A3254"/>
    <w:rsid w:val="007A3BB6"/>
    <w:rsid w:val="007A3D2B"/>
    <w:rsid w:val="007A5DFD"/>
    <w:rsid w:val="007A6485"/>
    <w:rsid w:val="007B2CF2"/>
    <w:rsid w:val="007B3EA8"/>
    <w:rsid w:val="007B4A93"/>
    <w:rsid w:val="007B75F8"/>
    <w:rsid w:val="007C117F"/>
    <w:rsid w:val="007C1B98"/>
    <w:rsid w:val="007C25F6"/>
    <w:rsid w:val="007C3509"/>
    <w:rsid w:val="007C3F21"/>
    <w:rsid w:val="007C5038"/>
    <w:rsid w:val="007C58C5"/>
    <w:rsid w:val="007C6B98"/>
    <w:rsid w:val="007C6EE9"/>
    <w:rsid w:val="007C798E"/>
    <w:rsid w:val="007D171B"/>
    <w:rsid w:val="007D3809"/>
    <w:rsid w:val="007D60BB"/>
    <w:rsid w:val="007E07E1"/>
    <w:rsid w:val="007E3414"/>
    <w:rsid w:val="007F2ACC"/>
    <w:rsid w:val="007F36AB"/>
    <w:rsid w:val="007F376B"/>
    <w:rsid w:val="007F5C92"/>
    <w:rsid w:val="007F74E4"/>
    <w:rsid w:val="007F7B36"/>
    <w:rsid w:val="007F7C1E"/>
    <w:rsid w:val="00805C2A"/>
    <w:rsid w:val="00806315"/>
    <w:rsid w:val="00814DC4"/>
    <w:rsid w:val="0081721A"/>
    <w:rsid w:val="00817854"/>
    <w:rsid w:val="008205CD"/>
    <w:rsid w:val="008214B5"/>
    <w:rsid w:val="008224D7"/>
    <w:rsid w:val="0082256A"/>
    <w:rsid w:val="00832092"/>
    <w:rsid w:val="00835E23"/>
    <w:rsid w:val="0083727C"/>
    <w:rsid w:val="008417E8"/>
    <w:rsid w:val="008501DF"/>
    <w:rsid w:val="0085169B"/>
    <w:rsid w:val="008517AA"/>
    <w:rsid w:val="008547D1"/>
    <w:rsid w:val="00855574"/>
    <w:rsid w:val="00862B7D"/>
    <w:rsid w:val="00872D40"/>
    <w:rsid w:val="008730F2"/>
    <w:rsid w:val="008824ED"/>
    <w:rsid w:val="00883788"/>
    <w:rsid w:val="00885522"/>
    <w:rsid w:val="00886B46"/>
    <w:rsid w:val="00886F6C"/>
    <w:rsid w:val="00890A87"/>
    <w:rsid w:val="00890BC8"/>
    <w:rsid w:val="008916B5"/>
    <w:rsid w:val="008A0630"/>
    <w:rsid w:val="008A19A7"/>
    <w:rsid w:val="008A1D38"/>
    <w:rsid w:val="008A5632"/>
    <w:rsid w:val="008B014A"/>
    <w:rsid w:val="008B01B8"/>
    <w:rsid w:val="008B0531"/>
    <w:rsid w:val="008B0A01"/>
    <w:rsid w:val="008C0D48"/>
    <w:rsid w:val="008C13EA"/>
    <w:rsid w:val="008C3287"/>
    <w:rsid w:val="008C3825"/>
    <w:rsid w:val="008C449E"/>
    <w:rsid w:val="008C6E2A"/>
    <w:rsid w:val="008D5F45"/>
    <w:rsid w:val="008D79DC"/>
    <w:rsid w:val="008E04FA"/>
    <w:rsid w:val="008E09FD"/>
    <w:rsid w:val="008E0B8A"/>
    <w:rsid w:val="008E3A3A"/>
    <w:rsid w:val="008E4E2E"/>
    <w:rsid w:val="008E53F5"/>
    <w:rsid w:val="00900262"/>
    <w:rsid w:val="00904629"/>
    <w:rsid w:val="00904923"/>
    <w:rsid w:val="00906EA7"/>
    <w:rsid w:val="00910800"/>
    <w:rsid w:val="00910E5E"/>
    <w:rsid w:val="009133BA"/>
    <w:rsid w:val="009145C8"/>
    <w:rsid w:val="00914A1A"/>
    <w:rsid w:val="00915A3F"/>
    <w:rsid w:val="00917BBE"/>
    <w:rsid w:val="009206B4"/>
    <w:rsid w:val="00920D13"/>
    <w:rsid w:val="00921B84"/>
    <w:rsid w:val="00922CE9"/>
    <w:rsid w:val="009236E6"/>
    <w:rsid w:val="00930AAE"/>
    <w:rsid w:val="00931250"/>
    <w:rsid w:val="009325D4"/>
    <w:rsid w:val="0093392A"/>
    <w:rsid w:val="00935BDD"/>
    <w:rsid w:val="00936BEC"/>
    <w:rsid w:val="00937C63"/>
    <w:rsid w:val="009421EB"/>
    <w:rsid w:val="00944535"/>
    <w:rsid w:val="009448C6"/>
    <w:rsid w:val="00945615"/>
    <w:rsid w:val="00945842"/>
    <w:rsid w:val="00947F5A"/>
    <w:rsid w:val="00951C81"/>
    <w:rsid w:val="00953E2C"/>
    <w:rsid w:val="009577E7"/>
    <w:rsid w:val="00957FDA"/>
    <w:rsid w:val="00962F36"/>
    <w:rsid w:val="00963989"/>
    <w:rsid w:val="009639E1"/>
    <w:rsid w:val="00963AFF"/>
    <w:rsid w:val="00964735"/>
    <w:rsid w:val="00967613"/>
    <w:rsid w:val="0097191F"/>
    <w:rsid w:val="0097236C"/>
    <w:rsid w:val="00972784"/>
    <w:rsid w:val="0097363C"/>
    <w:rsid w:val="00977020"/>
    <w:rsid w:val="009772B9"/>
    <w:rsid w:val="009831A1"/>
    <w:rsid w:val="00983AE6"/>
    <w:rsid w:val="00990C7C"/>
    <w:rsid w:val="00993767"/>
    <w:rsid w:val="00994AC3"/>
    <w:rsid w:val="00994F23"/>
    <w:rsid w:val="0099638F"/>
    <w:rsid w:val="009A099E"/>
    <w:rsid w:val="009A5721"/>
    <w:rsid w:val="009B0386"/>
    <w:rsid w:val="009B0AD6"/>
    <w:rsid w:val="009B0CB6"/>
    <w:rsid w:val="009B0E9E"/>
    <w:rsid w:val="009B4066"/>
    <w:rsid w:val="009B47E7"/>
    <w:rsid w:val="009B4DD7"/>
    <w:rsid w:val="009B6106"/>
    <w:rsid w:val="009B63A4"/>
    <w:rsid w:val="009B64E1"/>
    <w:rsid w:val="009B6989"/>
    <w:rsid w:val="009B7323"/>
    <w:rsid w:val="009B7762"/>
    <w:rsid w:val="009C3BE0"/>
    <w:rsid w:val="009C4F8C"/>
    <w:rsid w:val="009C59F5"/>
    <w:rsid w:val="009C62A1"/>
    <w:rsid w:val="009C72B4"/>
    <w:rsid w:val="009C7DD5"/>
    <w:rsid w:val="009D04F4"/>
    <w:rsid w:val="009D1D9F"/>
    <w:rsid w:val="009D2574"/>
    <w:rsid w:val="009D3ED2"/>
    <w:rsid w:val="009D4FF2"/>
    <w:rsid w:val="009D6E32"/>
    <w:rsid w:val="009D78BC"/>
    <w:rsid w:val="009E04F1"/>
    <w:rsid w:val="009E1B53"/>
    <w:rsid w:val="009E31CC"/>
    <w:rsid w:val="009E395F"/>
    <w:rsid w:val="009E5444"/>
    <w:rsid w:val="009E6E2F"/>
    <w:rsid w:val="009E7998"/>
    <w:rsid w:val="009F23A0"/>
    <w:rsid w:val="009F2A30"/>
    <w:rsid w:val="009F7499"/>
    <w:rsid w:val="009F7A8D"/>
    <w:rsid w:val="00A0378F"/>
    <w:rsid w:val="00A04573"/>
    <w:rsid w:val="00A04636"/>
    <w:rsid w:val="00A0727A"/>
    <w:rsid w:val="00A106F8"/>
    <w:rsid w:val="00A1115A"/>
    <w:rsid w:val="00A11167"/>
    <w:rsid w:val="00A2121F"/>
    <w:rsid w:val="00A3051D"/>
    <w:rsid w:val="00A36229"/>
    <w:rsid w:val="00A37BD5"/>
    <w:rsid w:val="00A4082D"/>
    <w:rsid w:val="00A41C46"/>
    <w:rsid w:val="00A42B14"/>
    <w:rsid w:val="00A42CDD"/>
    <w:rsid w:val="00A443F2"/>
    <w:rsid w:val="00A4524E"/>
    <w:rsid w:val="00A51097"/>
    <w:rsid w:val="00A5142E"/>
    <w:rsid w:val="00A533B6"/>
    <w:rsid w:val="00A54835"/>
    <w:rsid w:val="00A5748D"/>
    <w:rsid w:val="00A57A1D"/>
    <w:rsid w:val="00A60C85"/>
    <w:rsid w:val="00A62308"/>
    <w:rsid w:val="00A648A0"/>
    <w:rsid w:val="00A65505"/>
    <w:rsid w:val="00A70EFB"/>
    <w:rsid w:val="00A723DC"/>
    <w:rsid w:val="00A72A6B"/>
    <w:rsid w:val="00A73C43"/>
    <w:rsid w:val="00A7478B"/>
    <w:rsid w:val="00A7703A"/>
    <w:rsid w:val="00A775DD"/>
    <w:rsid w:val="00A8031F"/>
    <w:rsid w:val="00A81EF7"/>
    <w:rsid w:val="00A86D53"/>
    <w:rsid w:val="00A86E48"/>
    <w:rsid w:val="00A90CF9"/>
    <w:rsid w:val="00A91644"/>
    <w:rsid w:val="00A91C89"/>
    <w:rsid w:val="00A93E5E"/>
    <w:rsid w:val="00A93EAD"/>
    <w:rsid w:val="00A965A1"/>
    <w:rsid w:val="00A968FC"/>
    <w:rsid w:val="00A975F3"/>
    <w:rsid w:val="00AA3FB1"/>
    <w:rsid w:val="00AA69E7"/>
    <w:rsid w:val="00AA6C50"/>
    <w:rsid w:val="00AA6E3B"/>
    <w:rsid w:val="00AB4740"/>
    <w:rsid w:val="00AB5285"/>
    <w:rsid w:val="00AC45D3"/>
    <w:rsid w:val="00AC5ED4"/>
    <w:rsid w:val="00AD1A89"/>
    <w:rsid w:val="00AE2966"/>
    <w:rsid w:val="00AE53D1"/>
    <w:rsid w:val="00AE6128"/>
    <w:rsid w:val="00AE77BF"/>
    <w:rsid w:val="00AF032D"/>
    <w:rsid w:val="00AF0B3E"/>
    <w:rsid w:val="00AF0B69"/>
    <w:rsid w:val="00AF10A9"/>
    <w:rsid w:val="00AF1C26"/>
    <w:rsid w:val="00AF3E72"/>
    <w:rsid w:val="00AF4156"/>
    <w:rsid w:val="00AF4EC7"/>
    <w:rsid w:val="00AF6CAE"/>
    <w:rsid w:val="00B004A0"/>
    <w:rsid w:val="00B00CAA"/>
    <w:rsid w:val="00B035B7"/>
    <w:rsid w:val="00B05250"/>
    <w:rsid w:val="00B06D4B"/>
    <w:rsid w:val="00B06EFB"/>
    <w:rsid w:val="00B11894"/>
    <w:rsid w:val="00B13D45"/>
    <w:rsid w:val="00B16FEC"/>
    <w:rsid w:val="00B225B3"/>
    <w:rsid w:val="00B22BFF"/>
    <w:rsid w:val="00B24B70"/>
    <w:rsid w:val="00B262E1"/>
    <w:rsid w:val="00B2684B"/>
    <w:rsid w:val="00B269CD"/>
    <w:rsid w:val="00B337F5"/>
    <w:rsid w:val="00B37157"/>
    <w:rsid w:val="00B37802"/>
    <w:rsid w:val="00B40A3C"/>
    <w:rsid w:val="00B42ED8"/>
    <w:rsid w:val="00B438A3"/>
    <w:rsid w:val="00B43AD0"/>
    <w:rsid w:val="00B45217"/>
    <w:rsid w:val="00B45E4C"/>
    <w:rsid w:val="00B514E2"/>
    <w:rsid w:val="00B5220E"/>
    <w:rsid w:val="00B53670"/>
    <w:rsid w:val="00B55817"/>
    <w:rsid w:val="00B56924"/>
    <w:rsid w:val="00B60AF0"/>
    <w:rsid w:val="00B62D93"/>
    <w:rsid w:val="00B652F7"/>
    <w:rsid w:val="00B665C6"/>
    <w:rsid w:val="00B7502A"/>
    <w:rsid w:val="00B7592A"/>
    <w:rsid w:val="00B775C3"/>
    <w:rsid w:val="00B8040A"/>
    <w:rsid w:val="00B81369"/>
    <w:rsid w:val="00B832D0"/>
    <w:rsid w:val="00B83ABA"/>
    <w:rsid w:val="00B858F9"/>
    <w:rsid w:val="00B85970"/>
    <w:rsid w:val="00B907EC"/>
    <w:rsid w:val="00B9242E"/>
    <w:rsid w:val="00B9380E"/>
    <w:rsid w:val="00B945EE"/>
    <w:rsid w:val="00B94A77"/>
    <w:rsid w:val="00B96480"/>
    <w:rsid w:val="00B9688F"/>
    <w:rsid w:val="00B96EE4"/>
    <w:rsid w:val="00B97BFC"/>
    <w:rsid w:val="00B97DD9"/>
    <w:rsid w:val="00BA6BF8"/>
    <w:rsid w:val="00BA70A8"/>
    <w:rsid w:val="00BA790F"/>
    <w:rsid w:val="00BB5E88"/>
    <w:rsid w:val="00BB6813"/>
    <w:rsid w:val="00BB6E26"/>
    <w:rsid w:val="00BC0EA7"/>
    <w:rsid w:val="00BD02AA"/>
    <w:rsid w:val="00BD04DA"/>
    <w:rsid w:val="00BD1115"/>
    <w:rsid w:val="00BD3679"/>
    <w:rsid w:val="00BD4489"/>
    <w:rsid w:val="00BD5029"/>
    <w:rsid w:val="00BD6AFD"/>
    <w:rsid w:val="00BD7783"/>
    <w:rsid w:val="00BE3C59"/>
    <w:rsid w:val="00BF059B"/>
    <w:rsid w:val="00BF403F"/>
    <w:rsid w:val="00BF7D35"/>
    <w:rsid w:val="00C00B14"/>
    <w:rsid w:val="00C01D47"/>
    <w:rsid w:val="00C06BA0"/>
    <w:rsid w:val="00C075A9"/>
    <w:rsid w:val="00C112BA"/>
    <w:rsid w:val="00C17A60"/>
    <w:rsid w:val="00C215E0"/>
    <w:rsid w:val="00C21A5E"/>
    <w:rsid w:val="00C22544"/>
    <w:rsid w:val="00C227A1"/>
    <w:rsid w:val="00C27DBD"/>
    <w:rsid w:val="00C31647"/>
    <w:rsid w:val="00C31B1B"/>
    <w:rsid w:val="00C31E3E"/>
    <w:rsid w:val="00C33828"/>
    <w:rsid w:val="00C354D4"/>
    <w:rsid w:val="00C35B79"/>
    <w:rsid w:val="00C36EDC"/>
    <w:rsid w:val="00C41A81"/>
    <w:rsid w:val="00C41E53"/>
    <w:rsid w:val="00C429DE"/>
    <w:rsid w:val="00C466D3"/>
    <w:rsid w:val="00C47A31"/>
    <w:rsid w:val="00C5210B"/>
    <w:rsid w:val="00C57EC4"/>
    <w:rsid w:val="00C64B40"/>
    <w:rsid w:val="00C65057"/>
    <w:rsid w:val="00C66D1B"/>
    <w:rsid w:val="00C672EC"/>
    <w:rsid w:val="00C67A85"/>
    <w:rsid w:val="00C7077A"/>
    <w:rsid w:val="00C7239B"/>
    <w:rsid w:val="00C7251F"/>
    <w:rsid w:val="00C81102"/>
    <w:rsid w:val="00C81E96"/>
    <w:rsid w:val="00C857C8"/>
    <w:rsid w:val="00C9014F"/>
    <w:rsid w:val="00C914B5"/>
    <w:rsid w:val="00C93869"/>
    <w:rsid w:val="00C941F8"/>
    <w:rsid w:val="00C94B34"/>
    <w:rsid w:val="00C95B58"/>
    <w:rsid w:val="00CA41BC"/>
    <w:rsid w:val="00CA5023"/>
    <w:rsid w:val="00CA63F8"/>
    <w:rsid w:val="00CA7828"/>
    <w:rsid w:val="00CB0C27"/>
    <w:rsid w:val="00CB2342"/>
    <w:rsid w:val="00CB23A8"/>
    <w:rsid w:val="00CB24AA"/>
    <w:rsid w:val="00CB37AC"/>
    <w:rsid w:val="00CB45F0"/>
    <w:rsid w:val="00CB590E"/>
    <w:rsid w:val="00CC0837"/>
    <w:rsid w:val="00CC2D69"/>
    <w:rsid w:val="00CC53E1"/>
    <w:rsid w:val="00CD0392"/>
    <w:rsid w:val="00CD218A"/>
    <w:rsid w:val="00CD3B85"/>
    <w:rsid w:val="00CD3CE6"/>
    <w:rsid w:val="00CD478E"/>
    <w:rsid w:val="00CD63C8"/>
    <w:rsid w:val="00CD72FB"/>
    <w:rsid w:val="00CE1F26"/>
    <w:rsid w:val="00CE4645"/>
    <w:rsid w:val="00CE4F02"/>
    <w:rsid w:val="00CF1822"/>
    <w:rsid w:val="00CF31C1"/>
    <w:rsid w:val="00CF57BC"/>
    <w:rsid w:val="00CF6957"/>
    <w:rsid w:val="00CF77FB"/>
    <w:rsid w:val="00D03AF5"/>
    <w:rsid w:val="00D05138"/>
    <w:rsid w:val="00D07C56"/>
    <w:rsid w:val="00D12049"/>
    <w:rsid w:val="00D14517"/>
    <w:rsid w:val="00D16A9D"/>
    <w:rsid w:val="00D23625"/>
    <w:rsid w:val="00D2391A"/>
    <w:rsid w:val="00D241E7"/>
    <w:rsid w:val="00D24C61"/>
    <w:rsid w:val="00D27DF7"/>
    <w:rsid w:val="00D304DB"/>
    <w:rsid w:val="00D305AD"/>
    <w:rsid w:val="00D31A4B"/>
    <w:rsid w:val="00D32A6B"/>
    <w:rsid w:val="00D32BCB"/>
    <w:rsid w:val="00D373A3"/>
    <w:rsid w:val="00D4165B"/>
    <w:rsid w:val="00D41769"/>
    <w:rsid w:val="00D43530"/>
    <w:rsid w:val="00D4463F"/>
    <w:rsid w:val="00D4473C"/>
    <w:rsid w:val="00D54B97"/>
    <w:rsid w:val="00D54E3F"/>
    <w:rsid w:val="00D55885"/>
    <w:rsid w:val="00D56718"/>
    <w:rsid w:val="00D60026"/>
    <w:rsid w:val="00D6049E"/>
    <w:rsid w:val="00D62D04"/>
    <w:rsid w:val="00D637A3"/>
    <w:rsid w:val="00D647CF"/>
    <w:rsid w:val="00D65F83"/>
    <w:rsid w:val="00D6677C"/>
    <w:rsid w:val="00D70C30"/>
    <w:rsid w:val="00D72951"/>
    <w:rsid w:val="00D74146"/>
    <w:rsid w:val="00D75728"/>
    <w:rsid w:val="00D76262"/>
    <w:rsid w:val="00D8134F"/>
    <w:rsid w:val="00D8351A"/>
    <w:rsid w:val="00D83D54"/>
    <w:rsid w:val="00D85145"/>
    <w:rsid w:val="00D866F5"/>
    <w:rsid w:val="00D90568"/>
    <w:rsid w:val="00D923A5"/>
    <w:rsid w:val="00D93767"/>
    <w:rsid w:val="00D96C7F"/>
    <w:rsid w:val="00D96E31"/>
    <w:rsid w:val="00D972F7"/>
    <w:rsid w:val="00DA0D26"/>
    <w:rsid w:val="00DA16F7"/>
    <w:rsid w:val="00DA2243"/>
    <w:rsid w:val="00DA4FBA"/>
    <w:rsid w:val="00DA50E5"/>
    <w:rsid w:val="00DA6304"/>
    <w:rsid w:val="00DA7ECE"/>
    <w:rsid w:val="00DB1CCE"/>
    <w:rsid w:val="00DB210C"/>
    <w:rsid w:val="00DB24D7"/>
    <w:rsid w:val="00DB6E4E"/>
    <w:rsid w:val="00DC2515"/>
    <w:rsid w:val="00DC2D3F"/>
    <w:rsid w:val="00DC5946"/>
    <w:rsid w:val="00DD03EA"/>
    <w:rsid w:val="00DD17B1"/>
    <w:rsid w:val="00DD1D48"/>
    <w:rsid w:val="00DD2823"/>
    <w:rsid w:val="00DD2F1E"/>
    <w:rsid w:val="00DD471D"/>
    <w:rsid w:val="00DD478D"/>
    <w:rsid w:val="00DD6488"/>
    <w:rsid w:val="00DF32E6"/>
    <w:rsid w:val="00DF557F"/>
    <w:rsid w:val="00DF5F7E"/>
    <w:rsid w:val="00DF69EC"/>
    <w:rsid w:val="00DF7336"/>
    <w:rsid w:val="00DF7FE6"/>
    <w:rsid w:val="00E00486"/>
    <w:rsid w:val="00E0334D"/>
    <w:rsid w:val="00E066E6"/>
    <w:rsid w:val="00E10D6A"/>
    <w:rsid w:val="00E11099"/>
    <w:rsid w:val="00E164CB"/>
    <w:rsid w:val="00E17D85"/>
    <w:rsid w:val="00E230F2"/>
    <w:rsid w:val="00E24080"/>
    <w:rsid w:val="00E326D1"/>
    <w:rsid w:val="00E402C7"/>
    <w:rsid w:val="00E40940"/>
    <w:rsid w:val="00E414E1"/>
    <w:rsid w:val="00E4252D"/>
    <w:rsid w:val="00E45605"/>
    <w:rsid w:val="00E5031A"/>
    <w:rsid w:val="00E5474C"/>
    <w:rsid w:val="00E56063"/>
    <w:rsid w:val="00E57496"/>
    <w:rsid w:val="00E574FF"/>
    <w:rsid w:val="00E57FE0"/>
    <w:rsid w:val="00E61C89"/>
    <w:rsid w:val="00E62345"/>
    <w:rsid w:val="00E74904"/>
    <w:rsid w:val="00E74B1D"/>
    <w:rsid w:val="00E802AC"/>
    <w:rsid w:val="00E80589"/>
    <w:rsid w:val="00E82CFB"/>
    <w:rsid w:val="00E8432E"/>
    <w:rsid w:val="00E867B3"/>
    <w:rsid w:val="00E900D5"/>
    <w:rsid w:val="00E9043A"/>
    <w:rsid w:val="00E918EB"/>
    <w:rsid w:val="00E91C95"/>
    <w:rsid w:val="00E92C3E"/>
    <w:rsid w:val="00E9457E"/>
    <w:rsid w:val="00E9496A"/>
    <w:rsid w:val="00E9614C"/>
    <w:rsid w:val="00E976B5"/>
    <w:rsid w:val="00EA2BF5"/>
    <w:rsid w:val="00EA3F80"/>
    <w:rsid w:val="00EA63CB"/>
    <w:rsid w:val="00EB1B9C"/>
    <w:rsid w:val="00EB26EC"/>
    <w:rsid w:val="00EB4CE2"/>
    <w:rsid w:val="00EB5290"/>
    <w:rsid w:val="00EB637C"/>
    <w:rsid w:val="00EC1EBE"/>
    <w:rsid w:val="00EC1EFA"/>
    <w:rsid w:val="00EC33DE"/>
    <w:rsid w:val="00EC3F6D"/>
    <w:rsid w:val="00EC6755"/>
    <w:rsid w:val="00ED165B"/>
    <w:rsid w:val="00ED4F3F"/>
    <w:rsid w:val="00ED68A4"/>
    <w:rsid w:val="00ED730B"/>
    <w:rsid w:val="00EE092D"/>
    <w:rsid w:val="00EE0F2C"/>
    <w:rsid w:val="00EE11A8"/>
    <w:rsid w:val="00EE167A"/>
    <w:rsid w:val="00EE25AD"/>
    <w:rsid w:val="00EE3D47"/>
    <w:rsid w:val="00EF18BF"/>
    <w:rsid w:val="00EF2FF2"/>
    <w:rsid w:val="00EF7886"/>
    <w:rsid w:val="00F00D2E"/>
    <w:rsid w:val="00F01BE5"/>
    <w:rsid w:val="00F01DF4"/>
    <w:rsid w:val="00F05836"/>
    <w:rsid w:val="00F119E2"/>
    <w:rsid w:val="00F13091"/>
    <w:rsid w:val="00F13B4F"/>
    <w:rsid w:val="00F15113"/>
    <w:rsid w:val="00F25620"/>
    <w:rsid w:val="00F264CD"/>
    <w:rsid w:val="00F2657C"/>
    <w:rsid w:val="00F33C83"/>
    <w:rsid w:val="00F372A2"/>
    <w:rsid w:val="00F378A1"/>
    <w:rsid w:val="00F37A4F"/>
    <w:rsid w:val="00F43A2C"/>
    <w:rsid w:val="00F444F4"/>
    <w:rsid w:val="00F456FD"/>
    <w:rsid w:val="00F50B61"/>
    <w:rsid w:val="00F530B3"/>
    <w:rsid w:val="00F539DA"/>
    <w:rsid w:val="00F53C01"/>
    <w:rsid w:val="00F5499F"/>
    <w:rsid w:val="00F55AF7"/>
    <w:rsid w:val="00F57C40"/>
    <w:rsid w:val="00F64D25"/>
    <w:rsid w:val="00F66679"/>
    <w:rsid w:val="00F672D0"/>
    <w:rsid w:val="00F711F0"/>
    <w:rsid w:val="00F722B9"/>
    <w:rsid w:val="00F72EDD"/>
    <w:rsid w:val="00F80052"/>
    <w:rsid w:val="00F8309B"/>
    <w:rsid w:val="00F84E92"/>
    <w:rsid w:val="00F877F9"/>
    <w:rsid w:val="00F907FB"/>
    <w:rsid w:val="00F9457D"/>
    <w:rsid w:val="00F96FE3"/>
    <w:rsid w:val="00FA13BF"/>
    <w:rsid w:val="00FA5E00"/>
    <w:rsid w:val="00FB2882"/>
    <w:rsid w:val="00FB305E"/>
    <w:rsid w:val="00FB39FA"/>
    <w:rsid w:val="00FB4846"/>
    <w:rsid w:val="00FB5780"/>
    <w:rsid w:val="00FC01FC"/>
    <w:rsid w:val="00FC4C1F"/>
    <w:rsid w:val="00FC5808"/>
    <w:rsid w:val="00FC5FBE"/>
    <w:rsid w:val="00FD0C2A"/>
    <w:rsid w:val="00FD49E7"/>
    <w:rsid w:val="00FD6502"/>
    <w:rsid w:val="00FE61FF"/>
    <w:rsid w:val="00FF0B24"/>
    <w:rsid w:val="00FF5070"/>
    <w:rsid w:val="00FF624B"/>
    <w:rsid w:val="00FF74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FE"/>
    <w:pPr>
      <w:spacing w:line="240" w:lineRule="auto"/>
    </w:pPr>
    <w:rPr>
      <w:rFonts w:eastAsiaTheme="minorEastAsia"/>
    </w:rPr>
  </w:style>
  <w:style w:type="paragraph" w:styleId="Heading1">
    <w:name w:val="heading 1"/>
    <w:basedOn w:val="Normal"/>
    <w:next w:val="Normal"/>
    <w:link w:val="Heading1Char"/>
    <w:qFormat/>
    <w:rsid w:val="00983AE6"/>
    <w:pPr>
      <w:pBdr>
        <w:bottom w:val="single" w:sz="4" w:space="1" w:color="292065"/>
      </w:pBdr>
      <w:spacing w:after="240"/>
      <w:contextualSpacing/>
      <w:outlineLvl w:val="0"/>
    </w:pPr>
    <w:rPr>
      <w:rFonts w:ascii="Calibri" w:eastAsiaTheme="majorEastAsia" w:hAnsi="Calibri" w:cstheme="majorBidi"/>
      <w:b/>
      <w:bCs/>
      <w:caps/>
      <w:color w:val="292065"/>
      <w:sz w:val="36"/>
      <w:szCs w:val="28"/>
    </w:rPr>
  </w:style>
  <w:style w:type="paragraph" w:styleId="Heading2">
    <w:name w:val="heading 2"/>
    <w:basedOn w:val="Normal"/>
    <w:next w:val="Normal"/>
    <w:link w:val="Heading2Char"/>
    <w:unhideWhenUsed/>
    <w:qFormat/>
    <w:rsid w:val="00983AE6"/>
    <w:pPr>
      <w:spacing w:before="200" w:after="120"/>
      <w:outlineLvl w:val="1"/>
    </w:pPr>
    <w:rPr>
      <w:rFonts w:ascii="Calibri" w:eastAsiaTheme="majorEastAsia" w:hAnsi="Calibri" w:cstheme="majorBidi"/>
      <w:b/>
      <w:bCs/>
      <w:color w:val="292065"/>
      <w:sz w:val="28"/>
      <w:szCs w:val="26"/>
    </w:rPr>
  </w:style>
  <w:style w:type="paragraph" w:styleId="Heading3">
    <w:name w:val="heading 3"/>
    <w:basedOn w:val="Normal"/>
    <w:next w:val="Normal"/>
    <w:link w:val="Heading3Char"/>
    <w:unhideWhenUsed/>
    <w:qFormat/>
    <w:rsid w:val="00983AE6"/>
    <w:pPr>
      <w:spacing w:before="200" w:after="120"/>
      <w:outlineLvl w:val="2"/>
    </w:pPr>
    <w:rPr>
      <w:rFonts w:ascii="Calibri" w:eastAsiaTheme="majorEastAsia" w:hAnsi="Calibri" w:cstheme="majorBidi"/>
      <w:b/>
      <w:bCs/>
      <w:color w:val="24206B"/>
    </w:rPr>
  </w:style>
  <w:style w:type="paragraph" w:styleId="Heading4">
    <w:name w:val="heading 4"/>
    <w:basedOn w:val="Heading3"/>
    <w:next w:val="Normal"/>
    <w:link w:val="Heading4Char"/>
    <w:unhideWhenUsed/>
    <w:qFormat/>
    <w:rsid w:val="001924F4"/>
    <w:pPr>
      <w:numPr>
        <w:ilvl w:val="2"/>
        <w:numId w:val="71"/>
      </w:numPr>
      <w:outlineLvl w:val="3"/>
    </w:pPr>
  </w:style>
  <w:style w:type="paragraph" w:styleId="Heading5">
    <w:name w:val="heading 5"/>
    <w:basedOn w:val="Normal"/>
    <w:next w:val="Normal"/>
    <w:link w:val="Heading5Char"/>
    <w:unhideWhenUsed/>
    <w:qFormat/>
    <w:rsid w:val="009206B4"/>
    <w:pPr>
      <w:spacing w:before="200" w:after="120"/>
      <w:outlineLvl w:val="4"/>
    </w:pPr>
    <w:rPr>
      <w:rFonts w:ascii="Calibri" w:eastAsiaTheme="majorEastAsia" w:hAnsi="Calibri" w:cstheme="majorBidi"/>
      <w:b/>
      <w:bCs/>
      <w:i/>
    </w:rPr>
  </w:style>
  <w:style w:type="paragraph" w:styleId="Heading6">
    <w:name w:val="heading 6"/>
    <w:basedOn w:val="Normal"/>
    <w:next w:val="Normal"/>
    <w:link w:val="Heading6Char"/>
    <w:semiHidden/>
    <w:qFormat/>
    <w:rsid w:val="00983AE6"/>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semiHidden/>
    <w:qFormat/>
    <w:rsid w:val="00983AE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qFormat/>
    <w:rsid w:val="00983AE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qFormat/>
    <w:rsid w:val="00983AE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AE6"/>
    <w:rPr>
      <w:rFonts w:ascii="Calibri" w:eastAsiaTheme="majorEastAsia" w:hAnsi="Calibri" w:cstheme="majorBidi"/>
      <w:b/>
      <w:bCs/>
      <w:caps/>
      <w:color w:val="292065"/>
      <w:sz w:val="36"/>
      <w:szCs w:val="28"/>
    </w:rPr>
  </w:style>
  <w:style w:type="character" w:customStyle="1" w:styleId="Heading2Char">
    <w:name w:val="Heading 2 Char"/>
    <w:basedOn w:val="DefaultParagraphFont"/>
    <w:link w:val="Heading2"/>
    <w:rsid w:val="00983AE6"/>
    <w:rPr>
      <w:rFonts w:ascii="Calibri" w:eastAsiaTheme="majorEastAsia" w:hAnsi="Calibri" w:cstheme="majorBidi"/>
      <w:b/>
      <w:bCs/>
      <w:color w:val="292065"/>
      <w:sz w:val="28"/>
      <w:szCs w:val="26"/>
    </w:rPr>
  </w:style>
  <w:style w:type="character" w:customStyle="1" w:styleId="Heading3Char">
    <w:name w:val="Heading 3 Char"/>
    <w:basedOn w:val="DefaultParagraphFont"/>
    <w:link w:val="Heading3"/>
    <w:rsid w:val="00983AE6"/>
    <w:rPr>
      <w:rFonts w:ascii="Calibri" w:eastAsiaTheme="majorEastAsia" w:hAnsi="Calibri" w:cstheme="majorBidi"/>
      <w:b/>
      <w:bCs/>
      <w:color w:val="24206B"/>
    </w:rPr>
  </w:style>
  <w:style w:type="character" w:customStyle="1" w:styleId="Heading4Char">
    <w:name w:val="Heading 4 Char"/>
    <w:basedOn w:val="DefaultParagraphFont"/>
    <w:link w:val="Heading4"/>
    <w:rsid w:val="001924F4"/>
    <w:rPr>
      <w:rFonts w:ascii="Calibri" w:eastAsiaTheme="majorEastAsia" w:hAnsi="Calibri" w:cstheme="majorBidi"/>
      <w:b/>
      <w:bCs/>
      <w:color w:val="24206B"/>
    </w:rPr>
  </w:style>
  <w:style w:type="character" w:customStyle="1" w:styleId="Heading5Char">
    <w:name w:val="Heading 5 Char"/>
    <w:basedOn w:val="DefaultParagraphFont"/>
    <w:link w:val="Heading5"/>
    <w:rsid w:val="009206B4"/>
    <w:rPr>
      <w:rFonts w:ascii="Calibri" w:eastAsiaTheme="majorEastAsia" w:hAnsi="Calibri" w:cstheme="majorBidi"/>
      <w:b/>
      <w:bCs/>
      <w:i/>
    </w:rPr>
  </w:style>
  <w:style w:type="character" w:customStyle="1" w:styleId="Heading6Char">
    <w:name w:val="Heading 6 Char"/>
    <w:basedOn w:val="DefaultParagraphFont"/>
    <w:link w:val="Heading6"/>
    <w:semiHidden/>
    <w:rsid w:val="00983AE6"/>
    <w:rPr>
      <w:rFonts w:ascii="Calibri" w:eastAsiaTheme="majorEastAsia" w:hAnsi="Calibri" w:cstheme="majorBidi"/>
      <w:b/>
      <w:bCs/>
      <w:i/>
      <w:iCs/>
      <w:color w:val="757575"/>
    </w:rPr>
  </w:style>
  <w:style w:type="character" w:customStyle="1" w:styleId="Heading7Char">
    <w:name w:val="Heading 7 Char"/>
    <w:basedOn w:val="DefaultParagraphFont"/>
    <w:link w:val="Heading7"/>
    <w:semiHidden/>
    <w:rsid w:val="00983AE6"/>
    <w:rPr>
      <w:rFonts w:asciiTheme="majorHAnsi" w:eastAsiaTheme="majorEastAsia" w:hAnsiTheme="majorHAnsi" w:cstheme="majorBidi"/>
      <w:i/>
      <w:iCs/>
    </w:rPr>
  </w:style>
  <w:style w:type="character" w:customStyle="1" w:styleId="Heading8Char">
    <w:name w:val="Heading 8 Char"/>
    <w:basedOn w:val="DefaultParagraphFont"/>
    <w:link w:val="Heading8"/>
    <w:semiHidden/>
    <w:rsid w:val="00983AE6"/>
    <w:rPr>
      <w:rFonts w:asciiTheme="majorHAnsi" w:eastAsiaTheme="majorEastAsia" w:hAnsiTheme="majorHAnsi" w:cstheme="majorBidi"/>
      <w:sz w:val="20"/>
      <w:szCs w:val="20"/>
    </w:rPr>
  </w:style>
  <w:style w:type="character" w:customStyle="1" w:styleId="Heading9Char">
    <w:name w:val="Heading 9 Char"/>
    <w:basedOn w:val="DefaultParagraphFont"/>
    <w:link w:val="Heading9"/>
    <w:semiHidden/>
    <w:rsid w:val="00983AE6"/>
    <w:rPr>
      <w:rFonts w:asciiTheme="majorHAnsi" w:eastAsiaTheme="majorEastAsia" w:hAnsiTheme="majorHAnsi" w:cstheme="majorBidi"/>
      <w:i/>
      <w:iCs/>
      <w:spacing w:val="5"/>
      <w:sz w:val="20"/>
      <w:szCs w:val="20"/>
    </w:rPr>
  </w:style>
  <w:style w:type="character" w:styleId="Strong">
    <w:name w:val="Strong"/>
    <w:uiPriority w:val="22"/>
    <w:qFormat/>
    <w:rsid w:val="00983AE6"/>
    <w:rPr>
      <w:b/>
      <w:bCs/>
    </w:rPr>
  </w:style>
  <w:style w:type="character" w:styleId="Emphasis">
    <w:name w:val="Emphasis"/>
    <w:uiPriority w:val="20"/>
    <w:qFormat/>
    <w:rsid w:val="00983AE6"/>
    <w:rPr>
      <w:rFonts w:ascii="Calibri" w:hAnsi="Calibri"/>
      <w:b w:val="0"/>
      <w:bCs/>
      <w:i/>
      <w:iCs/>
      <w:spacing w:val="10"/>
      <w:sz w:val="22"/>
      <w:bdr w:val="none" w:sz="0" w:space="0" w:color="auto"/>
      <w:shd w:val="clear" w:color="auto" w:fill="auto"/>
    </w:rPr>
  </w:style>
  <w:style w:type="character" w:styleId="BookTitle">
    <w:name w:val="Book Title"/>
    <w:uiPriority w:val="33"/>
    <w:qFormat/>
    <w:rsid w:val="00983AE6"/>
    <w:rPr>
      <w:i/>
      <w:iCs/>
      <w:caps w:val="0"/>
      <w:smallCaps w:val="0"/>
      <w:spacing w:val="5"/>
    </w:rPr>
  </w:style>
  <w:style w:type="character" w:styleId="Hyperlink">
    <w:name w:val="Hyperlink"/>
    <w:basedOn w:val="DefaultParagraphFont"/>
    <w:uiPriority w:val="99"/>
    <w:unhideWhenUsed/>
    <w:rsid w:val="00983AE6"/>
    <w:rPr>
      <w:rFonts w:asciiTheme="minorHAnsi" w:hAnsiTheme="minorHAnsi"/>
      <w:b/>
      <w:color w:val="24206B"/>
      <w:sz w:val="22"/>
      <w:u w:val="none"/>
    </w:rPr>
  </w:style>
  <w:style w:type="paragraph" w:styleId="Quote">
    <w:name w:val="Quote"/>
    <w:basedOn w:val="Normal"/>
    <w:next w:val="Normal"/>
    <w:link w:val="QuoteChar"/>
    <w:uiPriority w:val="29"/>
    <w:qFormat/>
    <w:rsid w:val="00983AE6"/>
    <w:pPr>
      <w:spacing w:after="120"/>
      <w:ind w:left="369" w:right="369"/>
    </w:pPr>
    <w:rPr>
      <w:i/>
      <w:iCs/>
    </w:rPr>
  </w:style>
  <w:style w:type="character" w:customStyle="1" w:styleId="QuoteChar">
    <w:name w:val="Quote Char"/>
    <w:basedOn w:val="DefaultParagraphFont"/>
    <w:link w:val="Quote"/>
    <w:uiPriority w:val="29"/>
    <w:rsid w:val="00983AE6"/>
    <w:rPr>
      <w:rFonts w:eastAsiaTheme="minorEastAsia"/>
      <w:i/>
      <w:iCs/>
    </w:rPr>
  </w:style>
  <w:style w:type="paragraph" w:styleId="Title">
    <w:name w:val="Title"/>
    <w:basedOn w:val="Normal"/>
    <w:next w:val="Normal"/>
    <w:link w:val="TitleChar"/>
    <w:uiPriority w:val="10"/>
    <w:qFormat/>
    <w:rsid w:val="00983AE6"/>
    <w:pPr>
      <w:spacing w:after="0" w:line="1000" w:lineRule="exact"/>
      <w:contextualSpacing/>
    </w:pPr>
    <w:rPr>
      <w:rFonts w:ascii="Calibri" w:eastAsiaTheme="majorEastAsia" w:hAnsi="Calibri" w:cstheme="majorBidi"/>
      <w:caps/>
      <w:color w:val="292065"/>
      <w:spacing w:val="5"/>
      <w:sz w:val="110"/>
      <w:szCs w:val="110"/>
    </w:rPr>
  </w:style>
  <w:style w:type="character" w:customStyle="1" w:styleId="TitleChar">
    <w:name w:val="Title Char"/>
    <w:basedOn w:val="DefaultParagraphFont"/>
    <w:link w:val="Title"/>
    <w:uiPriority w:val="10"/>
    <w:rsid w:val="00983AE6"/>
    <w:rPr>
      <w:rFonts w:ascii="Calibri" w:eastAsiaTheme="majorEastAsia" w:hAnsi="Calibri" w:cstheme="majorBidi"/>
      <w:caps/>
      <w:color w:val="292065"/>
      <w:spacing w:val="5"/>
      <w:sz w:val="110"/>
      <w:szCs w:val="110"/>
    </w:rPr>
  </w:style>
  <w:style w:type="paragraph" w:styleId="Subtitle">
    <w:name w:val="Subtitle"/>
    <w:basedOn w:val="Normal"/>
    <w:next w:val="Normal"/>
    <w:link w:val="SubtitleChar"/>
    <w:uiPriority w:val="11"/>
    <w:qFormat/>
    <w:rsid w:val="00983AE6"/>
    <w:pPr>
      <w:spacing w:before="60" w:after="240"/>
    </w:pPr>
    <w:rPr>
      <w:rFonts w:ascii="Calibri" w:eastAsiaTheme="majorEastAsia" w:hAnsi="Calibri" w:cstheme="majorBidi"/>
      <w:b/>
      <w:iCs/>
      <w:caps/>
      <w:color w:val="000000" w:themeColor="text1"/>
      <w:spacing w:val="13"/>
      <w:sz w:val="44"/>
      <w:szCs w:val="24"/>
    </w:rPr>
  </w:style>
  <w:style w:type="character" w:customStyle="1" w:styleId="SubtitleChar">
    <w:name w:val="Subtitle Char"/>
    <w:basedOn w:val="DefaultParagraphFont"/>
    <w:link w:val="Subtitle"/>
    <w:uiPriority w:val="11"/>
    <w:rsid w:val="00983AE6"/>
    <w:rPr>
      <w:rFonts w:ascii="Calibri" w:eastAsiaTheme="majorEastAsia" w:hAnsi="Calibri" w:cstheme="majorBidi"/>
      <w:b/>
      <w:iCs/>
      <w:caps/>
      <w:color w:val="000000" w:themeColor="text1"/>
      <w:spacing w:val="13"/>
      <w:sz w:val="44"/>
      <w:szCs w:val="24"/>
    </w:rPr>
  </w:style>
  <w:style w:type="paragraph" w:styleId="NoSpacing">
    <w:name w:val="No Spacing"/>
    <w:basedOn w:val="Normal"/>
    <w:link w:val="NoSpacingChar"/>
    <w:uiPriority w:val="1"/>
    <w:qFormat/>
    <w:rsid w:val="00983AE6"/>
    <w:pPr>
      <w:spacing w:after="0"/>
    </w:pPr>
  </w:style>
  <w:style w:type="paragraph" w:styleId="ListParagraph">
    <w:name w:val="List Paragraph"/>
    <w:aliases w:val="Body Bullets 1,Bullet Point,Bullet point,Bullet points,CV text,Content descriptions,Dot pt,F5 List Paragraph,FooterText,L,List Paragraph1,List Paragraph11,List Paragraph111,Main,Medium Grid 1 - Accent 21,Numbered Paragraph,Recommendation"/>
    <w:basedOn w:val="Normal"/>
    <w:link w:val="ListParagraphChar"/>
    <w:uiPriority w:val="34"/>
    <w:qFormat/>
    <w:rsid w:val="00983AE6"/>
    <w:pPr>
      <w:ind w:left="720"/>
      <w:contextualSpacing/>
    </w:pPr>
  </w:style>
  <w:style w:type="paragraph" w:styleId="IntenseQuote">
    <w:name w:val="Intense Quote"/>
    <w:basedOn w:val="Normal"/>
    <w:next w:val="Normal"/>
    <w:link w:val="IntenseQuoteChar"/>
    <w:uiPriority w:val="30"/>
    <w:qFormat/>
    <w:rsid w:val="00983AE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83AE6"/>
    <w:rPr>
      <w:rFonts w:eastAsiaTheme="minorEastAsia"/>
      <w:b/>
      <w:bCs/>
      <w:i/>
      <w:iCs/>
    </w:rPr>
  </w:style>
  <w:style w:type="character" w:styleId="SubtleEmphasis">
    <w:name w:val="Subtle Emphasis"/>
    <w:uiPriority w:val="19"/>
    <w:qFormat/>
    <w:rsid w:val="00983AE6"/>
    <w:rPr>
      <w:i/>
      <w:iCs/>
    </w:rPr>
  </w:style>
  <w:style w:type="character" w:styleId="IntenseEmphasis">
    <w:name w:val="Intense Emphasis"/>
    <w:uiPriority w:val="21"/>
    <w:qFormat/>
    <w:rsid w:val="00983AE6"/>
    <w:rPr>
      <w:b/>
      <w:bCs/>
      <w:i/>
    </w:rPr>
  </w:style>
  <w:style w:type="character" w:styleId="SubtleReference">
    <w:name w:val="Subtle Reference"/>
    <w:uiPriority w:val="31"/>
    <w:qFormat/>
    <w:rsid w:val="00983AE6"/>
    <w:rPr>
      <w:smallCaps/>
    </w:rPr>
  </w:style>
  <w:style w:type="character" w:styleId="IntenseReference">
    <w:name w:val="Intense Reference"/>
    <w:uiPriority w:val="32"/>
    <w:qFormat/>
    <w:rsid w:val="00983AE6"/>
    <w:rPr>
      <w:smallCaps/>
      <w:spacing w:val="5"/>
      <w:u w:val="single"/>
    </w:rPr>
  </w:style>
  <w:style w:type="paragraph" w:styleId="TOCHeading">
    <w:name w:val="TOC Heading"/>
    <w:basedOn w:val="Heading1"/>
    <w:next w:val="Normal"/>
    <w:uiPriority w:val="39"/>
    <w:qFormat/>
    <w:rsid w:val="00983AE6"/>
    <w:pPr>
      <w:outlineLvl w:val="9"/>
    </w:pPr>
    <w:rPr>
      <w:lang w:bidi="en-US"/>
    </w:rPr>
  </w:style>
  <w:style w:type="paragraph" w:styleId="ListNumber">
    <w:name w:val="List Number"/>
    <w:basedOn w:val="Normal"/>
    <w:uiPriority w:val="99"/>
    <w:unhideWhenUsed/>
    <w:rsid w:val="00983AE6"/>
    <w:pPr>
      <w:numPr>
        <w:numId w:val="2"/>
      </w:numPr>
      <w:spacing w:after="120"/>
      <w:contextualSpacing/>
    </w:pPr>
  </w:style>
  <w:style w:type="paragraph" w:styleId="ListNumber2">
    <w:name w:val="List Number 2"/>
    <w:basedOn w:val="Normal"/>
    <w:uiPriority w:val="99"/>
    <w:unhideWhenUsed/>
    <w:rsid w:val="00983AE6"/>
    <w:pPr>
      <w:numPr>
        <w:ilvl w:val="1"/>
        <w:numId w:val="2"/>
      </w:numPr>
      <w:tabs>
        <w:tab w:val="left" w:pos="1134"/>
      </w:tabs>
      <w:spacing w:after="120"/>
      <w:contextualSpacing/>
    </w:pPr>
  </w:style>
  <w:style w:type="paragraph" w:styleId="ListNumber3">
    <w:name w:val="List Number 3"/>
    <w:basedOn w:val="Normal"/>
    <w:uiPriority w:val="99"/>
    <w:semiHidden/>
    <w:rsid w:val="00983AE6"/>
    <w:pPr>
      <w:numPr>
        <w:ilvl w:val="2"/>
        <w:numId w:val="2"/>
      </w:numPr>
      <w:spacing w:after="120"/>
      <w:contextualSpacing/>
    </w:pPr>
  </w:style>
  <w:style w:type="paragraph" w:styleId="ListNumber4">
    <w:name w:val="List Number 4"/>
    <w:basedOn w:val="Normal"/>
    <w:uiPriority w:val="99"/>
    <w:semiHidden/>
    <w:rsid w:val="00983AE6"/>
    <w:pPr>
      <w:numPr>
        <w:ilvl w:val="3"/>
        <w:numId w:val="2"/>
      </w:numPr>
      <w:spacing w:after="120"/>
      <w:contextualSpacing/>
    </w:pPr>
  </w:style>
  <w:style w:type="paragraph" w:styleId="ListBullet">
    <w:name w:val="List Bullet"/>
    <w:basedOn w:val="Normal"/>
    <w:uiPriority w:val="99"/>
    <w:unhideWhenUsed/>
    <w:qFormat/>
    <w:rsid w:val="00983AE6"/>
    <w:pPr>
      <w:numPr>
        <w:numId w:val="3"/>
      </w:numPr>
      <w:spacing w:after="120"/>
      <w:contextualSpacing/>
    </w:pPr>
  </w:style>
  <w:style w:type="paragraph" w:styleId="ListBullet2">
    <w:name w:val="List Bullet 2"/>
    <w:basedOn w:val="Normal"/>
    <w:uiPriority w:val="99"/>
    <w:unhideWhenUsed/>
    <w:rsid w:val="00983AE6"/>
    <w:pPr>
      <w:numPr>
        <w:ilvl w:val="1"/>
        <w:numId w:val="3"/>
      </w:numPr>
      <w:spacing w:after="120"/>
      <w:contextualSpacing/>
    </w:pPr>
  </w:style>
  <w:style w:type="paragraph" w:styleId="ListBullet3">
    <w:name w:val="List Bullet 3"/>
    <w:basedOn w:val="Normal"/>
    <w:uiPriority w:val="99"/>
    <w:semiHidden/>
    <w:rsid w:val="00983AE6"/>
    <w:pPr>
      <w:numPr>
        <w:ilvl w:val="2"/>
        <w:numId w:val="3"/>
      </w:numPr>
      <w:spacing w:after="120"/>
      <w:contextualSpacing/>
    </w:pPr>
  </w:style>
  <w:style w:type="paragraph" w:styleId="ListBullet4">
    <w:name w:val="List Bullet 4"/>
    <w:basedOn w:val="Normal"/>
    <w:uiPriority w:val="99"/>
    <w:semiHidden/>
    <w:rsid w:val="00983AE6"/>
    <w:pPr>
      <w:numPr>
        <w:ilvl w:val="3"/>
        <w:numId w:val="3"/>
      </w:numPr>
      <w:spacing w:after="120"/>
      <w:contextualSpacing/>
    </w:pPr>
  </w:style>
  <w:style w:type="table" w:styleId="TableGrid">
    <w:name w:val="Table Grid"/>
    <w:aliases w:val="HELP_Table Style 2"/>
    <w:basedOn w:val="TableNormal"/>
    <w:uiPriority w:val="59"/>
    <w:rsid w:val="00983A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983AE6"/>
    <w:pPr>
      <w:spacing w:after="0" w:line="240" w:lineRule="auto"/>
    </w:pPr>
    <w:rPr>
      <w:rFonts w:eastAsiaTheme="minorEastAsia"/>
      <w:sz w:val="20"/>
    </w:rPr>
    <w:tblPr>
      <w:tblStyleRowBandSize w:val="1"/>
      <w:tblInd w:w="0" w:type="dxa"/>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CellMar>
        <w:top w:w="0" w:type="dxa"/>
        <w:left w:w="108" w:type="dxa"/>
        <w:bottom w:w="0" w:type="dxa"/>
        <w:right w:w="108" w:type="dxa"/>
      </w:tblCellMar>
    </w:tblPr>
    <w:trPr>
      <w:cantSplit/>
    </w:trPr>
    <w:tblStylePr w:type="firstRow">
      <w:pPr>
        <w:wordWrap/>
        <w:ind w:leftChars="0" w:left="0" w:rightChars="0" w:right="0"/>
        <w:jc w:val="left"/>
      </w:pPr>
      <w:rPr>
        <w:rFonts w:asciiTheme="minorHAnsi" w:hAnsiTheme="minorHAnsi"/>
        <w:b/>
        <w:color w:val="EEECE1"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customStyle="1" w:styleId="Default">
    <w:name w:val="Default"/>
    <w:rsid w:val="00983AE6"/>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uiPriority w:val="1"/>
    <w:qFormat/>
    <w:rsid w:val="00983AE6"/>
    <w:pPr>
      <w:spacing w:after="120"/>
    </w:pPr>
    <w:rPr>
      <w:rFonts w:eastAsia="Times New Roman" w:cs="Times New Roman"/>
      <w:szCs w:val="24"/>
      <w:lang w:eastAsia="en-AU"/>
    </w:rPr>
  </w:style>
  <w:style w:type="character" w:customStyle="1" w:styleId="BodyTextChar">
    <w:name w:val="Body Text Char"/>
    <w:basedOn w:val="DefaultParagraphFont"/>
    <w:link w:val="BodyText"/>
    <w:uiPriority w:val="1"/>
    <w:rsid w:val="00983AE6"/>
    <w:rPr>
      <w:rFonts w:eastAsia="Times New Roman" w:cs="Times New Roman"/>
      <w:szCs w:val="24"/>
      <w:lang w:eastAsia="en-AU"/>
    </w:rPr>
  </w:style>
  <w:style w:type="paragraph" w:customStyle="1" w:styleId="numberedpara">
    <w:name w:val="numbered para"/>
    <w:basedOn w:val="Normal"/>
    <w:semiHidden/>
    <w:rsid w:val="00983AE6"/>
    <w:pPr>
      <w:numPr>
        <w:numId w:val="1"/>
      </w:numPr>
      <w:spacing w:after="0"/>
    </w:pPr>
    <w:rPr>
      <w:rFonts w:ascii="Calibri" w:eastAsiaTheme="minorHAnsi" w:hAnsi="Calibri" w:cs="Calibri"/>
      <w:lang w:eastAsia="en-AU"/>
    </w:rPr>
  </w:style>
  <w:style w:type="paragraph" w:styleId="BalloonText">
    <w:name w:val="Balloon Text"/>
    <w:basedOn w:val="Normal"/>
    <w:link w:val="BalloonTextChar"/>
    <w:uiPriority w:val="99"/>
    <w:semiHidden/>
    <w:rsid w:val="00983A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E6"/>
    <w:rPr>
      <w:rFonts w:ascii="Tahoma" w:eastAsiaTheme="minorEastAsia" w:hAnsi="Tahoma" w:cs="Tahoma"/>
      <w:sz w:val="16"/>
      <w:szCs w:val="16"/>
    </w:rPr>
  </w:style>
  <w:style w:type="character" w:customStyle="1" w:styleId="NoSpacingChar">
    <w:name w:val="No Spacing Char"/>
    <w:basedOn w:val="DefaultParagraphFont"/>
    <w:link w:val="NoSpacing"/>
    <w:uiPriority w:val="1"/>
    <w:rsid w:val="00983AE6"/>
    <w:rPr>
      <w:rFonts w:eastAsiaTheme="minorEastAsia"/>
    </w:rPr>
  </w:style>
  <w:style w:type="paragraph" w:styleId="Header">
    <w:name w:val="header"/>
    <w:basedOn w:val="Normal"/>
    <w:link w:val="HeaderChar"/>
    <w:uiPriority w:val="99"/>
    <w:rsid w:val="00983AE6"/>
    <w:pPr>
      <w:tabs>
        <w:tab w:val="center" w:pos="4513"/>
        <w:tab w:val="right" w:pos="9026"/>
      </w:tabs>
      <w:spacing w:after="0"/>
    </w:pPr>
  </w:style>
  <w:style w:type="character" w:customStyle="1" w:styleId="HeaderChar">
    <w:name w:val="Header Char"/>
    <w:basedOn w:val="DefaultParagraphFont"/>
    <w:link w:val="Header"/>
    <w:uiPriority w:val="99"/>
    <w:rsid w:val="00983AE6"/>
    <w:rPr>
      <w:rFonts w:eastAsiaTheme="minorEastAsia"/>
    </w:rPr>
  </w:style>
  <w:style w:type="paragraph" w:styleId="Footer">
    <w:name w:val="footer"/>
    <w:basedOn w:val="Normal"/>
    <w:link w:val="FooterChar"/>
    <w:uiPriority w:val="99"/>
    <w:unhideWhenUsed/>
    <w:rsid w:val="00983AE6"/>
    <w:pPr>
      <w:tabs>
        <w:tab w:val="center" w:pos="4513"/>
        <w:tab w:val="right" w:pos="9026"/>
      </w:tabs>
      <w:spacing w:after="0"/>
    </w:pPr>
    <w:rPr>
      <w:color w:val="EEECE1" w:themeColor="background2"/>
    </w:rPr>
  </w:style>
  <w:style w:type="character" w:customStyle="1" w:styleId="FooterChar">
    <w:name w:val="Footer Char"/>
    <w:basedOn w:val="DefaultParagraphFont"/>
    <w:link w:val="Footer"/>
    <w:uiPriority w:val="99"/>
    <w:rsid w:val="00983AE6"/>
    <w:rPr>
      <w:rFonts w:eastAsiaTheme="minorEastAsia"/>
      <w:color w:val="EEECE1" w:themeColor="background2"/>
    </w:rPr>
  </w:style>
  <w:style w:type="paragraph" w:styleId="TOC1">
    <w:name w:val="toc 1"/>
    <w:basedOn w:val="Normal"/>
    <w:next w:val="Normal"/>
    <w:autoRedefine/>
    <w:uiPriority w:val="39"/>
    <w:unhideWhenUsed/>
    <w:qFormat/>
    <w:rsid w:val="00931250"/>
    <w:pPr>
      <w:tabs>
        <w:tab w:val="left" w:pos="284"/>
        <w:tab w:val="right" w:pos="9072"/>
      </w:tabs>
      <w:spacing w:after="100"/>
    </w:pPr>
    <w:rPr>
      <w:noProof/>
    </w:rPr>
  </w:style>
  <w:style w:type="paragraph" w:styleId="TOC2">
    <w:name w:val="toc 2"/>
    <w:basedOn w:val="Normal"/>
    <w:next w:val="Normal"/>
    <w:autoRedefine/>
    <w:uiPriority w:val="39"/>
    <w:unhideWhenUsed/>
    <w:qFormat/>
    <w:rsid w:val="00C466D3"/>
    <w:pPr>
      <w:tabs>
        <w:tab w:val="right" w:pos="9072"/>
      </w:tabs>
      <w:spacing w:after="100"/>
      <w:ind w:left="426"/>
    </w:pPr>
    <w:rPr>
      <w:noProof/>
    </w:rPr>
  </w:style>
  <w:style w:type="paragraph" w:styleId="TOC3">
    <w:name w:val="toc 3"/>
    <w:basedOn w:val="Normal"/>
    <w:next w:val="Normal"/>
    <w:autoRedefine/>
    <w:uiPriority w:val="39"/>
    <w:unhideWhenUsed/>
    <w:qFormat/>
    <w:rsid w:val="00FC5808"/>
    <w:pPr>
      <w:tabs>
        <w:tab w:val="left" w:pos="1560"/>
        <w:tab w:val="right" w:leader="dot" w:pos="9072"/>
      </w:tabs>
      <w:spacing w:after="100"/>
      <w:ind w:left="426" w:firstLine="411"/>
      <w:jc w:val="both"/>
    </w:pPr>
  </w:style>
  <w:style w:type="paragraph" w:styleId="Caption">
    <w:name w:val="caption"/>
    <w:basedOn w:val="Heading4"/>
    <w:next w:val="Normal"/>
    <w:uiPriority w:val="35"/>
    <w:semiHidden/>
    <w:rsid w:val="00983AE6"/>
    <w:rPr>
      <w:i/>
    </w:rPr>
  </w:style>
  <w:style w:type="paragraph" w:customStyle="1" w:styleId="Source">
    <w:name w:val="Source"/>
    <w:basedOn w:val="Normal"/>
    <w:semiHidden/>
    <w:qFormat/>
    <w:rsid w:val="00983AE6"/>
    <w:rPr>
      <w:rFonts w:cstheme="minorHAnsi"/>
      <w:b/>
      <w:sz w:val="20"/>
      <w:szCs w:val="20"/>
    </w:rPr>
  </w:style>
  <w:style w:type="character" w:styleId="PlaceholderText">
    <w:name w:val="Placeholder Text"/>
    <w:basedOn w:val="DefaultParagraphFont"/>
    <w:uiPriority w:val="99"/>
    <w:semiHidden/>
    <w:rsid w:val="00983AE6"/>
    <w:rPr>
      <w:color w:val="808080"/>
    </w:rPr>
  </w:style>
  <w:style w:type="paragraph" w:customStyle="1" w:styleId="DeleteText">
    <w:name w:val="Delete Text"/>
    <w:basedOn w:val="Normal"/>
    <w:semiHidden/>
    <w:qFormat/>
    <w:rsid w:val="00983AE6"/>
    <w:rPr>
      <w:color w:val="1E3D6B"/>
    </w:rPr>
  </w:style>
  <w:style w:type="numbering" w:customStyle="1" w:styleId="NumberedList">
    <w:name w:val="Numbered List"/>
    <w:uiPriority w:val="99"/>
    <w:rsid w:val="00983AE6"/>
    <w:pPr>
      <w:numPr>
        <w:numId w:val="2"/>
      </w:numPr>
    </w:pPr>
  </w:style>
  <w:style w:type="numbering" w:customStyle="1" w:styleId="BulletList">
    <w:name w:val="Bullet List"/>
    <w:uiPriority w:val="99"/>
    <w:rsid w:val="00983AE6"/>
    <w:pPr>
      <w:numPr>
        <w:numId w:val="56"/>
      </w:numPr>
    </w:pPr>
  </w:style>
  <w:style w:type="paragraph" w:styleId="ListNumber5">
    <w:name w:val="List Number 5"/>
    <w:basedOn w:val="Normal"/>
    <w:uiPriority w:val="99"/>
    <w:semiHidden/>
    <w:rsid w:val="00983AE6"/>
    <w:pPr>
      <w:numPr>
        <w:ilvl w:val="4"/>
        <w:numId w:val="2"/>
      </w:numPr>
      <w:contextualSpacing/>
    </w:pPr>
  </w:style>
  <w:style w:type="paragraph" w:styleId="ListBullet5">
    <w:name w:val="List Bullet 5"/>
    <w:basedOn w:val="Normal"/>
    <w:uiPriority w:val="99"/>
    <w:semiHidden/>
    <w:rsid w:val="00983AE6"/>
    <w:pPr>
      <w:numPr>
        <w:ilvl w:val="4"/>
        <w:numId w:val="3"/>
      </w:numPr>
      <w:contextualSpacing/>
    </w:pPr>
  </w:style>
  <w:style w:type="table" w:customStyle="1" w:styleId="TableWithAlternatingshades">
    <w:name w:val="Table With Alternating shades"/>
    <w:basedOn w:val="TableNormal"/>
    <w:uiPriority w:val="99"/>
    <w:rsid w:val="00983AE6"/>
    <w:pPr>
      <w:spacing w:after="0" w:line="240" w:lineRule="auto"/>
    </w:pPr>
    <w:rPr>
      <w:rFonts w:eastAsiaTheme="minorEastAsia"/>
    </w:rPr>
    <w:tblPr>
      <w:tblStyleRowBandSize w:val="1"/>
      <w:tblInd w:w="0" w:type="dxa"/>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CellMar>
        <w:top w:w="0" w:type="dxa"/>
        <w:left w:w="108" w:type="dxa"/>
        <w:bottom w:w="0" w:type="dxa"/>
        <w:right w:w="108" w:type="dxa"/>
      </w:tblCellMar>
    </w:tblPr>
    <w:tblStylePr w:type="firstRow">
      <w:pPr>
        <w:jc w:val="left"/>
      </w:pPr>
      <w:tblPr/>
      <w:tcPr>
        <w:shd w:val="clear" w:color="auto" w:fill="292065"/>
        <w:vAlign w:val="center"/>
      </w:tcPr>
    </w:tblStylePr>
    <w:tblStylePr w:type="band1Horz">
      <w:tblPr/>
      <w:tcPr>
        <w:shd w:val="clear" w:color="auto" w:fill="E4E2EE"/>
      </w:tcPr>
    </w:tblStylePr>
  </w:style>
  <w:style w:type="table" w:customStyle="1" w:styleId="Notebox">
    <w:name w:val="Note box"/>
    <w:basedOn w:val="TableNormal"/>
    <w:uiPriority w:val="99"/>
    <w:rsid w:val="00983AE6"/>
    <w:pPr>
      <w:spacing w:after="0" w:line="240" w:lineRule="auto"/>
    </w:pPr>
    <w:rPr>
      <w:rFonts w:eastAsiaTheme="minorEastAsia"/>
    </w:rPr>
    <w:tblPr>
      <w:tblInd w:w="0" w:type="dxa"/>
      <w:tblCellMar>
        <w:top w:w="170" w:type="dxa"/>
        <w:left w:w="170" w:type="dxa"/>
        <w:bottom w:w="170" w:type="dxa"/>
        <w:right w:w="170" w:type="dxa"/>
      </w:tblCellMar>
    </w:tblPr>
    <w:tcPr>
      <w:shd w:val="clear" w:color="auto" w:fill="E4E2EE"/>
    </w:tcPr>
  </w:style>
  <w:style w:type="table" w:styleId="LightShading">
    <w:name w:val="Light Shading"/>
    <w:basedOn w:val="TableNormal"/>
    <w:uiPriority w:val="60"/>
    <w:rsid w:val="00983AE6"/>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lossaryTerm">
    <w:name w:val="Glossary Term"/>
    <w:basedOn w:val="Strong"/>
    <w:uiPriority w:val="1"/>
    <w:qFormat/>
    <w:rsid w:val="00983AE6"/>
    <w:rPr>
      <w:b/>
      <w:bCs/>
      <w:noProof/>
      <w:color w:val="292065"/>
    </w:rPr>
  </w:style>
  <w:style w:type="character" w:styleId="CommentReference">
    <w:name w:val="annotation reference"/>
    <w:basedOn w:val="DefaultParagraphFont"/>
    <w:uiPriority w:val="99"/>
    <w:semiHidden/>
    <w:unhideWhenUsed/>
    <w:rsid w:val="00983AE6"/>
    <w:rPr>
      <w:sz w:val="16"/>
      <w:szCs w:val="16"/>
    </w:rPr>
  </w:style>
  <w:style w:type="paragraph" w:styleId="CommentText">
    <w:name w:val="annotation text"/>
    <w:basedOn w:val="Normal"/>
    <w:link w:val="CommentTextChar"/>
    <w:uiPriority w:val="99"/>
    <w:unhideWhenUsed/>
    <w:rsid w:val="00983AE6"/>
    <w:pPr>
      <w:widowControl w:val="0"/>
    </w:pPr>
    <w:rPr>
      <w:rFonts w:eastAsiaTheme="minorHAnsi"/>
      <w:sz w:val="20"/>
      <w:szCs w:val="20"/>
      <w:lang w:val="en-US"/>
    </w:rPr>
  </w:style>
  <w:style w:type="character" w:customStyle="1" w:styleId="CommentTextChar">
    <w:name w:val="Comment Text Char"/>
    <w:basedOn w:val="DefaultParagraphFont"/>
    <w:link w:val="CommentText"/>
    <w:uiPriority w:val="99"/>
    <w:rsid w:val="00983AE6"/>
    <w:rPr>
      <w:sz w:val="20"/>
      <w:szCs w:val="20"/>
      <w:lang w:val="en-US"/>
    </w:rPr>
  </w:style>
  <w:style w:type="paragraph" w:styleId="CommentSubject">
    <w:name w:val="annotation subject"/>
    <w:basedOn w:val="CommentText"/>
    <w:next w:val="CommentText"/>
    <w:link w:val="CommentSubjectChar"/>
    <w:uiPriority w:val="99"/>
    <w:semiHidden/>
    <w:unhideWhenUsed/>
    <w:rsid w:val="00983AE6"/>
    <w:rPr>
      <w:b/>
      <w:bCs/>
    </w:rPr>
  </w:style>
  <w:style w:type="character" w:customStyle="1" w:styleId="CommentSubjectChar">
    <w:name w:val="Comment Subject Char"/>
    <w:basedOn w:val="CommentTextChar"/>
    <w:link w:val="CommentSubject"/>
    <w:uiPriority w:val="99"/>
    <w:semiHidden/>
    <w:rsid w:val="00983AE6"/>
    <w:rPr>
      <w:b/>
      <w:bCs/>
      <w:sz w:val="20"/>
      <w:szCs w:val="20"/>
      <w:lang w:val="en-US"/>
    </w:rPr>
  </w:style>
  <w:style w:type="paragraph" w:styleId="Revision">
    <w:name w:val="Revision"/>
    <w:hidden/>
    <w:uiPriority w:val="99"/>
    <w:semiHidden/>
    <w:rsid w:val="00983AE6"/>
    <w:pPr>
      <w:spacing w:after="0" w:line="240" w:lineRule="auto"/>
    </w:pPr>
    <w:rPr>
      <w:lang w:val="en-US"/>
    </w:rPr>
  </w:style>
  <w:style w:type="character" w:customStyle="1" w:styleId="apple-converted-space">
    <w:name w:val="apple-converted-space"/>
    <w:basedOn w:val="DefaultParagraphFont"/>
    <w:rsid w:val="00983AE6"/>
  </w:style>
  <w:style w:type="character" w:styleId="FollowedHyperlink">
    <w:name w:val="FollowedHyperlink"/>
    <w:basedOn w:val="DefaultParagraphFont"/>
    <w:uiPriority w:val="99"/>
    <w:semiHidden/>
    <w:unhideWhenUsed/>
    <w:rsid w:val="00983AE6"/>
    <w:rPr>
      <w:color w:val="800080" w:themeColor="followedHyperlink"/>
      <w:u w:val="single"/>
    </w:rPr>
  </w:style>
  <w:style w:type="paragraph" w:customStyle="1" w:styleId="Strongcolor">
    <w:name w:val="Strong color"/>
    <w:basedOn w:val="Normal"/>
    <w:link w:val="StrongcolorChar"/>
    <w:qFormat/>
    <w:rsid w:val="00983AE6"/>
    <w:rPr>
      <w:rFonts w:eastAsiaTheme="minorHAnsi"/>
      <w:b/>
      <w:color w:val="24206B"/>
      <w:spacing w:val="1"/>
    </w:rPr>
  </w:style>
  <w:style w:type="character" w:customStyle="1" w:styleId="StrongcolorChar">
    <w:name w:val="Strong color Char"/>
    <w:basedOn w:val="DefaultParagraphFont"/>
    <w:link w:val="Strongcolor"/>
    <w:rsid w:val="00983AE6"/>
    <w:rPr>
      <w:b/>
      <w:color w:val="24206B"/>
      <w:spacing w:val="1"/>
    </w:rPr>
  </w:style>
  <w:style w:type="paragraph" w:customStyle="1" w:styleId="picture">
    <w:name w:val="picture"/>
    <w:basedOn w:val="Normal"/>
    <w:link w:val="pictureChar"/>
    <w:rsid w:val="00983AE6"/>
    <w:rPr>
      <w:rFonts w:eastAsiaTheme="minorHAnsi"/>
      <w:b/>
      <w:color w:val="FF0000"/>
      <w:spacing w:val="1"/>
      <w:sz w:val="24"/>
    </w:rPr>
  </w:style>
  <w:style w:type="character" w:customStyle="1" w:styleId="pictureChar">
    <w:name w:val="picture Char"/>
    <w:basedOn w:val="DefaultParagraphFont"/>
    <w:link w:val="picture"/>
    <w:rsid w:val="00983AE6"/>
    <w:rPr>
      <w:b/>
      <w:color w:val="FF0000"/>
      <w:spacing w:val="1"/>
      <w:sz w:val="24"/>
    </w:rPr>
  </w:style>
  <w:style w:type="paragraph" w:customStyle="1" w:styleId="paragraph">
    <w:name w:val="paragraph"/>
    <w:aliases w:val="a"/>
    <w:basedOn w:val="Normal"/>
    <w:link w:val="paragraphChar"/>
    <w:rsid w:val="00983AE6"/>
    <w:pPr>
      <w:tabs>
        <w:tab w:val="right" w:pos="1531"/>
      </w:tabs>
      <w:spacing w:before="40" w:after="0"/>
      <w:ind w:left="1644" w:hanging="1644"/>
    </w:pPr>
    <w:rPr>
      <w:rFonts w:ascii="Times New Roman" w:eastAsia="Times New Roman" w:hAnsi="Times New Roman" w:cs="Times New Roman"/>
      <w:szCs w:val="20"/>
      <w:lang w:eastAsia="en-AU"/>
    </w:rPr>
  </w:style>
  <w:style w:type="table" w:customStyle="1" w:styleId="DEEWRTable1">
    <w:name w:val="DEEWR Table1"/>
    <w:basedOn w:val="TableNormal"/>
    <w:uiPriority w:val="99"/>
    <w:rsid w:val="00983AE6"/>
    <w:pPr>
      <w:spacing w:after="0" w:line="240" w:lineRule="auto"/>
    </w:pPr>
    <w:rPr>
      <w:rFonts w:eastAsiaTheme="minorEastAsia"/>
      <w:sz w:val="20"/>
    </w:rPr>
    <w:tblPr>
      <w:tblStyleRowBandSize w:val="1"/>
      <w:tblInd w:w="0" w:type="dxa"/>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CellMar>
        <w:top w:w="0" w:type="dxa"/>
        <w:left w:w="108" w:type="dxa"/>
        <w:bottom w:w="0" w:type="dxa"/>
        <w:right w:w="108" w:type="dxa"/>
      </w:tblCellMar>
    </w:tblPr>
    <w:trPr>
      <w:cantSplit/>
    </w:trPr>
    <w:tblStylePr w:type="firstRow">
      <w:pPr>
        <w:wordWrap/>
        <w:ind w:leftChars="0" w:left="0" w:rightChars="0" w:right="0"/>
        <w:jc w:val="left"/>
      </w:pPr>
      <w:rPr>
        <w:rFonts w:asciiTheme="minorHAnsi" w:hAnsiTheme="minorHAnsi"/>
        <w:b/>
        <w:color w:val="EEECE1"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styleId="FootnoteText">
    <w:name w:val="footnote text"/>
    <w:basedOn w:val="Normal"/>
    <w:link w:val="FootnoteTextChar"/>
    <w:uiPriority w:val="99"/>
    <w:semiHidden/>
    <w:rsid w:val="00983AE6"/>
    <w:pPr>
      <w:spacing w:after="0"/>
    </w:pPr>
    <w:rPr>
      <w:sz w:val="20"/>
      <w:szCs w:val="20"/>
    </w:rPr>
  </w:style>
  <w:style w:type="character" w:customStyle="1" w:styleId="FootnoteTextChar">
    <w:name w:val="Footnote Text Char"/>
    <w:basedOn w:val="DefaultParagraphFont"/>
    <w:link w:val="FootnoteText"/>
    <w:uiPriority w:val="99"/>
    <w:semiHidden/>
    <w:rsid w:val="00983AE6"/>
    <w:rPr>
      <w:rFonts w:eastAsiaTheme="minorEastAsia"/>
      <w:sz w:val="20"/>
      <w:szCs w:val="20"/>
    </w:rPr>
  </w:style>
  <w:style w:type="character" w:styleId="FootnoteReference">
    <w:name w:val="footnote reference"/>
    <w:basedOn w:val="DefaultParagraphFont"/>
    <w:uiPriority w:val="99"/>
    <w:semiHidden/>
    <w:rsid w:val="00983AE6"/>
    <w:rPr>
      <w:vertAlign w:val="superscript"/>
    </w:rPr>
  </w:style>
  <w:style w:type="table" w:customStyle="1" w:styleId="HELPTableStyle21">
    <w:name w:val="HELP_Table Style 21"/>
    <w:basedOn w:val="TableNormal"/>
    <w:next w:val="TableGrid"/>
    <w:uiPriority w:val="59"/>
    <w:rsid w:val="00983AE6"/>
    <w:pPr>
      <w:spacing w:after="0" w:line="240" w:lineRule="auto"/>
    </w:pPr>
    <w:rPr>
      <w:rFonts w:eastAsiaTheme="minorEastAsia"/>
    </w:rPr>
    <w:tblPr>
      <w:tblInd w:w="0" w:type="dxa"/>
      <w:tblBorders>
        <w:top w:val="single" w:sz="8" w:space="0" w:color="1E3D6B"/>
        <w:left w:val="single" w:sz="8" w:space="0" w:color="1E3D6B"/>
        <w:bottom w:val="single" w:sz="8" w:space="0" w:color="1E3D6B"/>
        <w:right w:val="single" w:sz="8" w:space="0" w:color="1E3D6B"/>
        <w:insideH w:val="single" w:sz="8" w:space="0" w:color="1E3D6B"/>
        <w:insideV w:val="single" w:sz="8" w:space="0" w:color="1E3D6B"/>
      </w:tblBorders>
      <w:tblCellMar>
        <w:top w:w="28" w:type="dxa"/>
        <w:left w:w="108" w:type="dxa"/>
        <w:bottom w:w="28" w:type="dxa"/>
        <w:right w:w="108" w:type="dxa"/>
      </w:tblCellMar>
    </w:tblPr>
    <w:tblStylePr w:type="firstRow">
      <w:pPr>
        <w:wordWrap/>
        <w:jc w:val="left"/>
      </w:pPr>
      <w:rPr>
        <w:b/>
        <w:color w:val="EEECE1" w:themeColor="background2"/>
      </w:rPr>
      <w:tblPr/>
      <w:tcPr>
        <w:shd w:val="clear" w:color="auto" w:fill="24206C"/>
      </w:tcPr>
    </w:tblStylePr>
    <w:tblStylePr w:type="firstCol">
      <w:pPr>
        <w:jc w:val="left"/>
      </w:pPr>
      <w:tblPr/>
      <w:tcPr>
        <w:vAlign w:val="center"/>
      </w:tcPr>
    </w:tblStylePr>
  </w:style>
  <w:style w:type="paragraph" w:customStyle="1" w:styleId="BodyIndent1">
    <w:name w:val="Body Indent 1"/>
    <w:basedOn w:val="Normal"/>
    <w:uiPriority w:val="99"/>
    <w:rsid w:val="00983AE6"/>
    <w:pPr>
      <w:spacing w:before="240" w:after="120"/>
      <w:ind w:left="851"/>
    </w:pPr>
    <w:rPr>
      <w:rFonts w:ascii="Calibri" w:hAnsi="Calibri" w:cs="Arial"/>
    </w:rPr>
  </w:style>
  <w:style w:type="paragraph" w:customStyle="1" w:styleId="Bullet1">
    <w:name w:val="Bullet1"/>
    <w:basedOn w:val="Normal"/>
    <w:rsid w:val="00983AE6"/>
    <w:pPr>
      <w:numPr>
        <w:numId w:val="4"/>
      </w:numPr>
      <w:spacing w:before="240" w:after="0"/>
    </w:pPr>
    <w:rPr>
      <w:rFonts w:ascii="Calibri" w:hAnsi="Calibri" w:cs="Arial"/>
    </w:rPr>
  </w:style>
  <w:style w:type="paragraph" w:customStyle="1" w:styleId="References">
    <w:name w:val="References"/>
    <w:basedOn w:val="BodyIndent1"/>
    <w:link w:val="ReferencesChar"/>
    <w:autoRedefine/>
    <w:rsid w:val="00983AE6"/>
    <w:pPr>
      <w:spacing w:before="0" w:after="240"/>
    </w:pPr>
    <w:rPr>
      <w:b/>
      <w:color w:val="24206B"/>
      <w:sz w:val="16"/>
    </w:rPr>
  </w:style>
  <w:style w:type="character" w:customStyle="1" w:styleId="ReferencesChar">
    <w:name w:val="References Char"/>
    <w:link w:val="References"/>
    <w:rsid w:val="00983AE6"/>
    <w:rPr>
      <w:rFonts w:ascii="Calibri" w:eastAsiaTheme="minorEastAsia" w:hAnsi="Calibri" w:cs="Arial"/>
      <w:b/>
      <w:color w:val="24206B"/>
      <w:sz w:val="16"/>
    </w:rPr>
  </w:style>
  <w:style w:type="character" w:customStyle="1" w:styleId="tgc">
    <w:name w:val="_tgc"/>
    <w:basedOn w:val="DefaultParagraphFont"/>
    <w:rsid w:val="00983AE6"/>
  </w:style>
  <w:style w:type="character" w:customStyle="1" w:styleId="ListParagraphChar">
    <w:name w:val="List Paragraph Char"/>
    <w:aliases w:val="Body Bullets 1 Char,Bullet Point Char,Bullet point Char,Bullet points Char,CV text Char,Content descriptions Char,Dot pt Char,F5 List Paragraph Char,FooterText Char,L Char,List Paragraph1 Char,List Paragraph11 Char,Main Char"/>
    <w:basedOn w:val="DefaultParagraphFont"/>
    <w:link w:val="ListParagraph"/>
    <w:uiPriority w:val="34"/>
    <w:qFormat/>
    <w:locked/>
    <w:rsid w:val="00983AE6"/>
    <w:rPr>
      <w:rFonts w:eastAsiaTheme="minorEastAsia"/>
    </w:rPr>
  </w:style>
  <w:style w:type="paragraph" w:customStyle="1" w:styleId="QTBHeading">
    <w:name w:val="QTBHeading"/>
    <w:basedOn w:val="Normal"/>
    <w:uiPriority w:val="99"/>
    <w:rsid w:val="00983AE6"/>
    <w:pPr>
      <w:spacing w:after="240"/>
    </w:pPr>
    <w:rPr>
      <w:rFonts w:ascii="Garamond" w:eastAsiaTheme="minorHAnsi" w:hAnsi="Garamond" w:cs="Times New Roman"/>
      <w:b/>
      <w:bCs/>
      <w:caps/>
      <w:sz w:val="28"/>
      <w:szCs w:val="28"/>
      <w:lang w:eastAsia="en-AU"/>
    </w:rPr>
  </w:style>
  <w:style w:type="paragraph" w:customStyle="1" w:styleId="Reference">
    <w:name w:val="Reference"/>
    <w:basedOn w:val="Normal"/>
    <w:link w:val="ReferenceChar"/>
    <w:qFormat/>
    <w:rsid w:val="00983AE6"/>
    <w:rPr>
      <w:b/>
      <w:color w:val="00ADEF"/>
      <w:sz w:val="16"/>
    </w:rPr>
  </w:style>
  <w:style w:type="paragraph" w:customStyle="1" w:styleId="Normal-aftertable">
    <w:name w:val="Normal-after table"/>
    <w:basedOn w:val="Normal"/>
    <w:next w:val="Normal"/>
    <w:qFormat/>
    <w:rsid w:val="00983AE6"/>
    <w:pPr>
      <w:spacing w:before="240"/>
    </w:pPr>
    <w:rPr>
      <w:rFonts w:eastAsia="Times New Roman" w:cs="Times New Roman"/>
      <w:szCs w:val="24"/>
    </w:rPr>
  </w:style>
  <w:style w:type="character" w:customStyle="1" w:styleId="ReferenceChar">
    <w:name w:val="Reference Char"/>
    <w:basedOn w:val="DefaultParagraphFont"/>
    <w:link w:val="Reference"/>
    <w:rsid w:val="00983AE6"/>
    <w:rPr>
      <w:rFonts w:eastAsiaTheme="minorEastAsia"/>
      <w:b/>
      <w:color w:val="00ADEF"/>
      <w:sz w:val="16"/>
    </w:rPr>
  </w:style>
  <w:style w:type="paragraph" w:customStyle="1" w:styleId="BodyIndent2">
    <w:name w:val="Body Indent 2"/>
    <w:basedOn w:val="Normal"/>
    <w:rsid w:val="00983AE6"/>
    <w:pPr>
      <w:spacing w:before="240" w:after="120"/>
      <w:ind w:left="1701"/>
    </w:pPr>
    <w:rPr>
      <w:rFonts w:ascii="Calibri" w:hAnsi="Calibri" w:cs="Arial"/>
    </w:rPr>
  </w:style>
  <w:style w:type="paragraph" w:customStyle="1" w:styleId="BodyIndent3">
    <w:name w:val="Body Indent 3"/>
    <w:basedOn w:val="Normal"/>
    <w:rsid w:val="00983AE6"/>
    <w:pPr>
      <w:spacing w:before="240" w:after="120"/>
      <w:ind w:left="2268"/>
    </w:pPr>
    <w:rPr>
      <w:rFonts w:ascii="Calibri" w:hAnsi="Calibri" w:cs="Arial"/>
    </w:rPr>
  </w:style>
  <w:style w:type="paragraph" w:customStyle="1" w:styleId="Bullet2">
    <w:name w:val="Bullet2"/>
    <w:basedOn w:val="Normal"/>
    <w:rsid w:val="00983AE6"/>
    <w:pPr>
      <w:numPr>
        <w:numId w:val="9"/>
      </w:numPr>
      <w:spacing w:before="240" w:after="120"/>
    </w:pPr>
    <w:rPr>
      <w:rFonts w:ascii="Calibri" w:hAnsi="Calibri" w:cs="Times New Roman"/>
    </w:rPr>
  </w:style>
  <w:style w:type="paragraph" w:customStyle="1" w:styleId="Bullet3">
    <w:name w:val="Bullet3"/>
    <w:basedOn w:val="Normal"/>
    <w:rsid w:val="00983AE6"/>
    <w:pPr>
      <w:numPr>
        <w:numId w:val="10"/>
      </w:numPr>
      <w:spacing w:before="240" w:after="120"/>
    </w:pPr>
    <w:rPr>
      <w:rFonts w:ascii="Calibri" w:hAnsi="Calibri" w:cs="Times New Roman"/>
    </w:rPr>
  </w:style>
  <w:style w:type="paragraph" w:customStyle="1" w:styleId="correspQuote">
    <w:name w:val="correspQuote"/>
    <w:basedOn w:val="Normal"/>
    <w:rsid w:val="00983AE6"/>
    <w:pPr>
      <w:spacing w:before="240" w:after="120"/>
      <w:ind w:left="851" w:right="851"/>
    </w:pPr>
    <w:rPr>
      <w:rFonts w:ascii="Calibri" w:hAnsi="Calibri" w:cs="Arial"/>
      <w:sz w:val="18"/>
    </w:rPr>
  </w:style>
  <w:style w:type="paragraph" w:customStyle="1" w:styleId="covBodyText">
    <w:name w:val="covBodyText"/>
    <w:basedOn w:val="Normal"/>
    <w:rsid w:val="00983AE6"/>
    <w:pPr>
      <w:spacing w:after="120"/>
      <w:ind w:left="397"/>
    </w:pPr>
    <w:rPr>
      <w:rFonts w:ascii="Calibri" w:hAnsi="Calibri" w:cs="Times New Roman"/>
    </w:rPr>
  </w:style>
  <w:style w:type="paragraph" w:customStyle="1" w:styleId="covSubTitle">
    <w:name w:val="covSubTitle"/>
    <w:basedOn w:val="Normal"/>
    <w:next w:val="covBodyText"/>
    <w:rsid w:val="00983AE6"/>
    <w:pPr>
      <w:spacing w:after="120"/>
      <w:ind w:left="397"/>
    </w:pPr>
    <w:rPr>
      <w:rFonts w:ascii="Calibri" w:hAnsi="Calibri" w:cs="Times New Roman"/>
      <w:b/>
    </w:rPr>
  </w:style>
  <w:style w:type="paragraph" w:customStyle="1" w:styleId="covTitle">
    <w:name w:val="covTitle"/>
    <w:basedOn w:val="Normal"/>
    <w:next w:val="covBodyText"/>
    <w:rsid w:val="00983AE6"/>
    <w:pPr>
      <w:spacing w:before="3600" w:after="120"/>
      <w:ind w:left="397"/>
    </w:pPr>
    <w:rPr>
      <w:rFonts w:ascii="Calibri" w:hAnsi="Calibri" w:cs="Times New Roman"/>
      <w:b/>
      <w:sz w:val="34"/>
    </w:rPr>
  </w:style>
  <w:style w:type="paragraph" w:customStyle="1" w:styleId="Headingpara2">
    <w:name w:val="Headingpara2"/>
    <w:basedOn w:val="Heading2"/>
    <w:qFormat/>
    <w:rsid w:val="00983AE6"/>
    <w:pPr>
      <w:numPr>
        <w:ilvl w:val="1"/>
      </w:numPr>
      <w:spacing w:before="240"/>
      <w:ind w:left="576" w:hanging="576"/>
    </w:pPr>
    <w:rPr>
      <w:rFonts w:eastAsiaTheme="minorEastAsia" w:cs="Times New Roman"/>
      <w:b w:val="0"/>
      <w:bCs w:val="0"/>
      <w:color w:val="auto"/>
      <w:sz w:val="22"/>
      <w:szCs w:val="22"/>
    </w:rPr>
  </w:style>
  <w:style w:type="paragraph" w:customStyle="1" w:styleId="legalDefinition">
    <w:name w:val="legalDefinition"/>
    <w:basedOn w:val="Normal"/>
    <w:qFormat/>
    <w:rsid w:val="00983AE6"/>
    <w:pPr>
      <w:numPr>
        <w:numId w:val="12"/>
      </w:numPr>
      <w:spacing w:before="240" w:after="120"/>
    </w:pPr>
    <w:rPr>
      <w:rFonts w:ascii="Calibri" w:hAnsi="Calibri" w:cs="Times New Roman"/>
    </w:rPr>
  </w:style>
  <w:style w:type="paragraph" w:customStyle="1" w:styleId="legalRecital1">
    <w:name w:val="legalRecital1"/>
    <w:basedOn w:val="Normal"/>
    <w:qFormat/>
    <w:rsid w:val="00983AE6"/>
    <w:pPr>
      <w:numPr>
        <w:numId w:val="5"/>
      </w:numPr>
      <w:spacing w:before="240" w:after="120"/>
    </w:pPr>
    <w:rPr>
      <w:rFonts w:ascii="Calibri" w:hAnsi="Calibri" w:cs="Times New Roman"/>
    </w:rPr>
  </w:style>
  <w:style w:type="paragraph" w:customStyle="1" w:styleId="legalSchedule">
    <w:name w:val="legalSchedule"/>
    <w:basedOn w:val="Normal"/>
    <w:next w:val="Normal"/>
    <w:qFormat/>
    <w:rsid w:val="00983AE6"/>
    <w:pPr>
      <w:pageBreakBefore/>
      <w:numPr>
        <w:numId w:val="7"/>
      </w:numPr>
      <w:pBdr>
        <w:top w:val="single" w:sz="4" w:space="1" w:color="auto"/>
      </w:pBdr>
      <w:spacing w:after="120"/>
    </w:pPr>
    <w:rPr>
      <w:rFonts w:ascii="Calibri" w:hAnsi="Calibri" w:cs="Times New Roman"/>
      <w:b/>
      <w:sz w:val="34"/>
    </w:rPr>
  </w:style>
  <w:style w:type="paragraph" w:customStyle="1" w:styleId="legalScheduleDesc">
    <w:name w:val="legalScheduleDesc"/>
    <w:basedOn w:val="Normal"/>
    <w:next w:val="Normal"/>
    <w:qFormat/>
    <w:rsid w:val="00983AE6"/>
    <w:pPr>
      <w:keepNext/>
      <w:spacing w:before="240" w:after="120"/>
    </w:pPr>
    <w:rPr>
      <w:rFonts w:ascii="Calibri" w:hAnsi="Calibri" w:cs="Times New Roman"/>
      <w:b/>
    </w:rPr>
  </w:style>
  <w:style w:type="paragraph" w:customStyle="1" w:styleId="legalTitleDescription">
    <w:name w:val="legalTitleDescription"/>
    <w:basedOn w:val="Normal"/>
    <w:next w:val="Normal"/>
    <w:rsid w:val="00983AE6"/>
    <w:pPr>
      <w:spacing w:before="240" w:after="120"/>
    </w:pPr>
    <w:rPr>
      <w:rFonts w:ascii="Calibri" w:hAnsi="Calibri" w:cs="Times New Roman"/>
      <w:b/>
    </w:rPr>
  </w:style>
  <w:style w:type="paragraph" w:customStyle="1" w:styleId="mainTitle">
    <w:name w:val="mainTitle"/>
    <w:basedOn w:val="Normal"/>
    <w:next w:val="Normal"/>
    <w:rsid w:val="00983AE6"/>
    <w:pPr>
      <w:pBdr>
        <w:top w:val="single" w:sz="4" w:space="1" w:color="auto"/>
      </w:pBdr>
      <w:spacing w:after="120"/>
    </w:pPr>
    <w:rPr>
      <w:rFonts w:ascii="Calibri" w:hAnsi="Calibri" w:cs="Times New Roman"/>
      <w:b/>
      <w:sz w:val="34"/>
    </w:rPr>
  </w:style>
  <w:style w:type="paragraph" w:customStyle="1" w:styleId="Numpara1">
    <w:name w:val="Numpara1"/>
    <w:basedOn w:val="Normal"/>
    <w:qFormat/>
    <w:rsid w:val="00983AE6"/>
    <w:pPr>
      <w:numPr>
        <w:numId w:val="6"/>
      </w:numPr>
      <w:spacing w:before="240" w:after="120"/>
    </w:pPr>
    <w:rPr>
      <w:rFonts w:ascii="Calibri" w:hAnsi="Calibri" w:cs="Arial"/>
    </w:rPr>
  </w:style>
  <w:style w:type="paragraph" w:customStyle="1" w:styleId="Numpara2">
    <w:name w:val="Numpara2"/>
    <w:basedOn w:val="Normal"/>
    <w:qFormat/>
    <w:rsid w:val="00983AE6"/>
    <w:pPr>
      <w:numPr>
        <w:ilvl w:val="1"/>
        <w:numId w:val="6"/>
      </w:numPr>
      <w:spacing w:before="240" w:after="120"/>
    </w:pPr>
    <w:rPr>
      <w:rFonts w:ascii="Calibri" w:hAnsi="Calibri" w:cs="Arial"/>
    </w:rPr>
  </w:style>
  <w:style w:type="paragraph" w:customStyle="1" w:styleId="Numpara3">
    <w:name w:val="Numpara3"/>
    <w:basedOn w:val="Normal"/>
    <w:qFormat/>
    <w:rsid w:val="00983AE6"/>
    <w:pPr>
      <w:numPr>
        <w:ilvl w:val="2"/>
        <w:numId w:val="6"/>
      </w:numPr>
      <w:spacing w:before="240" w:after="120"/>
    </w:pPr>
    <w:rPr>
      <w:rFonts w:ascii="Calibri" w:hAnsi="Calibri" w:cs="Arial"/>
    </w:rPr>
  </w:style>
  <w:style w:type="paragraph" w:customStyle="1" w:styleId="Numpara4">
    <w:name w:val="Numpara4"/>
    <w:basedOn w:val="Normal"/>
    <w:qFormat/>
    <w:rsid w:val="00983AE6"/>
    <w:pPr>
      <w:numPr>
        <w:ilvl w:val="3"/>
        <w:numId w:val="6"/>
      </w:numPr>
      <w:spacing w:before="240" w:after="120"/>
    </w:pPr>
    <w:rPr>
      <w:rFonts w:ascii="Calibri" w:hAnsi="Calibri" w:cs="Arial"/>
    </w:rPr>
  </w:style>
  <w:style w:type="paragraph" w:customStyle="1" w:styleId="pageNumber">
    <w:name w:val="pageNumber"/>
    <w:basedOn w:val="Normal"/>
    <w:qFormat/>
    <w:rsid w:val="00983AE6"/>
    <w:pPr>
      <w:tabs>
        <w:tab w:val="right" w:pos="9072"/>
      </w:tabs>
      <w:spacing w:after="120"/>
    </w:pPr>
    <w:rPr>
      <w:rFonts w:ascii="Calibri" w:hAnsi="Calibri" w:cs="Times New Roman"/>
      <w:sz w:val="14"/>
      <w:szCs w:val="14"/>
    </w:rPr>
  </w:style>
  <w:style w:type="table" w:customStyle="1" w:styleId="MadTabPlumGrid">
    <w:name w:val="MadTabPlumGrid"/>
    <w:basedOn w:val="TableNormal"/>
    <w:uiPriority w:val="99"/>
    <w:rsid w:val="00983AE6"/>
    <w:pPr>
      <w:spacing w:before="60" w:after="60" w:line="240" w:lineRule="auto"/>
    </w:pPr>
    <w:rPr>
      <w:rFonts w:ascii="Arial" w:eastAsia="Times New Roman" w:hAnsi="Arial" w:cs="Times New Roman"/>
      <w:sz w:val="20"/>
      <w:szCs w:val="20"/>
      <w:lang w:eastAsia="en-AU"/>
    </w:rPr>
    <w:tblPr>
      <w:tblInd w:w="0" w:type="dxa"/>
      <w:tblBorders>
        <w:top w:val="single" w:sz="4" w:space="0" w:color="82002A"/>
        <w:bottom w:val="single" w:sz="4" w:space="0" w:color="82002A"/>
        <w:insideH w:val="single" w:sz="4" w:space="0" w:color="82002A"/>
        <w:insideV w:val="single" w:sz="4" w:space="0" w:color="82002A"/>
      </w:tblBorders>
      <w:tblCellMar>
        <w:top w:w="0" w:type="dxa"/>
        <w:left w:w="108" w:type="dxa"/>
        <w:bottom w:w="0" w:type="dxa"/>
        <w:right w:w="108" w:type="dxa"/>
      </w:tblCellMar>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983AE6"/>
    <w:pPr>
      <w:spacing w:before="60" w:after="60" w:line="240" w:lineRule="auto"/>
    </w:pPr>
    <w:rPr>
      <w:rFonts w:ascii="Arial" w:eastAsia="Times New Roman" w:hAnsi="Arial" w:cs="Times New Roman"/>
      <w:sz w:val="20"/>
      <w:szCs w:val="20"/>
      <w:lang w:eastAsia="en-AU"/>
    </w:rPr>
    <w:tblPr>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Attachment">
    <w:name w:val="legalAttachment"/>
    <w:basedOn w:val="Normal"/>
    <w:next w:val="Normal"/>
    <w:rsid w:val="00983AE6"/>
    <w:pPr>
      <w:pageBreakBefore/>
      <w:numPr>
        <w:numId w:val="8"/>
      </w:numPr>
      <w:pBdr>
        <w:top w:val="single" w:sz="4" w:space="1" w:color="auto"/>
      </w:pBdr>
      <w:spacing w:after="120"/>
    </w:pPr>
    <w:rPr>
      <w:rFonts w:ascii="Calibri" w:hAnsi="Calibri" w:cs="Times New Roman"/>
      <w:b/>
      <w:sz w:val="34"/>
    </w:rPr>
  </w:style>
  <w:style w:type="paragraph" w:customStyle="1" w:styleId="legalPart">
    <w:name w:val="legalPart"/>
    <w:basedOn w:val="Normal"/>
    <w:next w:val="Normal"/>
    <w:qFormat/>
    <w:rsid w:val="00983AE6"/>
    <w:pPr>
      <w:keepNext/>
      <w:numPr>
        <w:numId w:val="11"/>
      </w:numPr>
      <w:pBdr>
        <w:top w:val="single" w:sz="4" w:space="6" w:color="82002A"/>
      </w:pBdr>
      <w:spacing w:before="480" w:after="480"/>
    </w:pPr>
    <w:rPr>
      <w:rFonts w:ascii="Calibri" w:hAnsi="Calibri" w:cs="Times New Roman"/>
      <w:b/>
      <w:color w:val="82002A"/>
    </w:rPr>
  </w:style>
  <w:style w:type="paragraph" w:styleId="EndnoteText">
    <w:name w:val="endnote text"/>
    <w:basedOn w:val="Normal"/>
    <w:link w:val="EndnoteTextChar"/>
    <w:uiPriority w:val="99"/>
    <w:semiHidden/>
    <w:unhideWhenUsed/>
    <w:rsid w:val="00983AE6"/>
    <w:pPr>
      <w:spacing w:after="120"/>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983AE6"/>
    <w:rPr>
      <w:rFonts w:ascii="Calibri" w:eastAsiaTheme="minorEastAsia" w:hAnsi="Calibri" w:cs="Times New Roman"/>
      <w:sz w:val="20"/>
      <w:szCs w:val="20"/>
    </w:rPr>
  </w:style>
  <w:style w:type="character" w:styleId="EndnoteReference">
    <w:name w:val="endnote reference"/>
    <w:basedOn w:val="DefaultParagraphFont"/>
    <w:uiPriority w:val="99"/>
    <w:semiHidden/>
    <w:unhideWhenUsed/>
    <w:rsid w:val="00983AE6"/>
    <w:rPr>
      <w:vertAlign w:val="superscript"/>
    </w:rPr>
  </w:style>
  <w:style w:type="character" w:customStyle="1" w:styleId="paragraphChar">
    <w:name w:val="paragraph Char"/>
    <w:aliases w:val="a Char"/>
    <w:link w:val="paragraph"/>
    <w:rsid w:val="00983AE6"/>
    <w:rPr>
      <w:rFonts w:ascii="Times New Roman" w:eastAsia="Times New Roman" w:hAnsi="Times New Roman" w:cs="Times New Roman"/>
      <w:szCs w:val="20"/>
      <w:lang w:eastAsia="en-AU"/>
    </w:rPr>
  </w:style>
  <w:style w:type="paragraph" w:customStyle="1" w:styleId="ListBullet1">
    <w:name w:val="List Bullet1"/>
    <w:basedOn w:val="ListContinue"/>
    <w:link w:val="ListbulletChar"/>
    <w:rsid w:val="00983AE6"/>
    <w:pPr>
      <w:spacing w:after="0" w:line="276" w:lineRule="auto"/>
      <w:ind w:left="0"/>
      <w:contextualSpacing w:val="0"/>
    </w:pPr>
    <w:rPr>
      <w:rFonts w:ascii="Arial" w:eastAsia="Times New Roman" w:hAnsi="Arial" w:cs="Arial"/>
      <w:color w:val="333333"/>
      <w:szCs w:val="24"/>
    </w:rPr>
  </w:style>
  <w:style w:type="paragraph" w:styleId="ListContinue">
    <w:name w:val="List Continue"/>
    <w:basedOn w:val="Normal"/>
    <w:uiPriority w:val="99"/>
    <w:unhideWhenUsed/>
    <w:rsid w:val="00983AE6"/>
    <w:pPr>
      <w:spacing w:after="120"/>
      <w:ind w:left="283"/>
      <w:contextualSpacing/>
    </w:pPr>
    <w:rPr>
      <w:rFonts w:ascii="Calibri" w:hAnsi="Calibri" w:cs="Times New Roman"/>
    </w:rPr>
  </w:style>
  <w:style w:type="character" w:customStyle="1" w:styleId="ListbulletChar">
    <w:name w:val="List bullet Char"/>
    <w:basedOn w:val="DefaultParagraphFont"/>
    <w:link w:val="ListBullet1"/>
    <w:rsid w:val="00983AE6"/>
    <w:rPr>
      <w:rFonts w:ascii="Arial" w:eastAsia="Times New Roman" w:hAnsi="Arial" w:cs="Arial"/>
      <w:color w:val="333333"/>
      <w:szCs w:val="24"/>
    </w:rPr>
  </w:style>
  <w:style w:type="paragraph" w:customStyle="1" w:styleId="Bullet">
    <w:name w:val="Bullet"/>
    <w:basedOn w:val="Normal"/>
    <w:rsid w:val="00983AE6"/>
    <w:pPr>
      <w:numPr>
        <w:numId w:val="13"/>
      </w:numPr>
      <w:spacing w:before="120" w:after="240"/>
    </w:pPr>
    <w:rPr>
      <w:rFonts w:ascii="Times New Roman" w:eastAsia="Times New Roman" w:hAnsi="Times New Roman" w:cs="Arial"/>
      <w:sz w:val="24"/>
      <w:szCs w:val="20"/>
    </w:rPr>
  </w:style>
  <w:style w:type="paragraph" w:customStyle="1" w:styleId="Dash">
    <w:name w:val="Dash"/>
    <w:basedOn w:val="Normal"/>
    <w:rsid w:val="00983AE6"/>
    <w:pPr>
      <w:numPr>
        <w:ilvl w:val="1"/>
        <w:numId w:val="13"/>
      </w:numPr>
      <w:spacing w:before="120" w:after="240"/>
    </w:pPr>
    <w:rPr>
      <w:rFonts w:ascii="Times New Roman" w:eastAsia="Times New Roman" w:hAnsi="Times New Roman" w:cs="Arial"/>
      <w:sz w:val="24"/>
      <w:szCs w:val="20"/>
    </w:rPr>
  </w:style>
  <w:style w:type="paragraph" w:customStyle="1" w:styleId="DoubleDot">
    <w:name w:val="Double Dot"/>
    <w:basedOn w:val="Normal"/>
    <w:rsid w:val="00983AE6"/>
    <w:pPr>
      <w:numPr>
        <w:ilvl w:val="2"/>
        <w:numId w:val="13"/>
      </w:numPr>
      <w:spacing w:before="120" w:after="240"/>
    </w:pPr>
    <w:rPr>
      <w:rFonts w:ascii="Times New Roman" w:eastAsia="Times New Roman" w:hAnsi="Times New Roman" w:cs="Arial"/>
      <w:sz w:val="24"/>
      <w:szCs w:val="20"/>
    </w:rPr>
  </w:style>
  <w:style w:type="paragraph" w:customStyle="1" w:styleId="ActHead5">
    <w:name w:val="ActHead 5"/>
    <w:aliases w:val="s"/>
    <w:basedOn w:val="Normal"/>
    <w:next w:val="subsection"/>
    <w:link w:val="ActHead5Char"/>
    <w:qFormat/>
    <w:rsid w:val="00983AE6"/>
    <w:pPr>
      <w:keepNext/>
      <w:keepLines/>
      <w:spacing w:before="280" w:after="120"/>
      <w:ind w:left="1134" w:hanging="1134"/>
      <w:outlineLvl w:val="4"/>
    </w:pPr>
    <w:rPr>
      <w:rFonts w:ascii="Times New Roman" w:eastAsia="Times New Roman" w:hAnsi="Times New Roman" w:cs="Times New Roman"/>
      <w:b/>
      <w:kern w:val="28"/>
      <w:sz w:val="24"/>
      <w:szCs w:val="20"/>
    </w:rPr>
  </w:style>
  <w:style w:type="paragraph" w:customStyle="1" w:styleId="subsection">
    <w:name w:val="subsection"/>
    <w:aliases w:val="ss,Subsection"/>
    <w:basedOn w:val="Normal"/>
    <w:link w:val="subsectionChar"/>
    <w:rsid w:val="00983AE6"/>
    <w:pPr>
      <w:tabs>
        <w:tab w:val="right" w:pos="1021"/>
      </w:tabs>
      <w:spacing w:before="180" w:after="120"/>
      <w:ind w:left="1134" w:hanging="1134"/>
    </w:pPr>
    <w:rPr>
      <w:rFonts w:ascii="Times New Roman" w:eastAsia="Times New Roman" w:hAnsi="Times New Roman" w:cs="Times New Roman"/>
      <w:szCs w:val="20"/>
    </w:rPr>
  </w:style>
  <w:style w:type="character" w:customStyle="1" w:styleId="subsectionChar">
    <w:name w:val="subsection Char"/>
    <w:aliases w:val="ss Char"/>
    <w:link w:val="subsection"/>
    <w:rsid w:val="00983AE6"/>
    <w:rPr>
      <w:rFonts w:ascii="Times New Roman" w:eastAsia="Times New Roman" w:hAnsi="Times New Roman" w:cs="Times New Roman"/>
      <w:szCs w:val="20"/>
    </w:rPr>
  </w:style>
  <w:style w:type="character" w:customStyle="1" w:styleId="ActHead5Char">
    <w:name w:val="ActHead 5 Char"/>
    <w:aliases w:val="s Char"/>
    <w:link w:val="ActHead5"/>
    <w:rsid w:val="00983AE6"/>
    <w:rPr>
      <w:rFonts w:ascii="Times New Roman" w:eastAsia="Times New Roman" w:hAnsi="Times New Roman" w:cs="Times New Roman"/>
      <w:b/>
      <w:kern w:val="28"/>
      <w:sz w:val="24"/>
      <w:szCs w:val="20"/>
    </w:rPr>
  </w:style>
  <w:style w:type="character" w:customStyle="1" w:styleId="CharSectno">
    <w:name w:val="CharSectno"/>
    <w:basedOn w:val="DefaultParagraphFont"/>
    <w:uiPriority w:val="1"/>
    <w:qFormat/>
    <w:rsid w:val="00983AE6"/>
  </w:style>
  <w:style w:type="paragraph" w:customStyle="1" w:styleId="notetext">
    <w:name w:val="note(text)"/>
    <w:aliases w:val="n"/>
    <w:basedOn w:val="Normal"/>
    <w:link w:val="notetextChar"/>
    <w:rsid w:val="00983AE6"/>
    <w:pPr>
      <w:spacing w:before="122" w:after="120"/>
      <w:ind w:left="1985" w:hanging="851"/>
    </w:pPr>
    <w:rPr>
      <w:rFonts w:ascii="Times New Roman" w:eastAsia="Times New Roman" w:hAnsi="Times New Roman" w:cs="Times New Roman"/>
      <w:sz w:val="18"/>
      <w:szCs w:val="20"/>
    </w:rPr>
  </w:style>
  <w:style w:type="character" w:customStyle="1" w:styleId="notetextChar">
    <w:name w:val="note(text) Char"/>
    <w:aliases w:val="n Char"/>
    <w:link w:val="notetext"/>
    <w:rsid w:val="00983AE6"/>
    <w:rPr>
      <w:rFonts w:ascii="Times New Roman" w:eastAsia="Times New Roman" w:hAnsi="Times New Roman" w:cs="Times New Roman"/>
      <w:sz w:val="18"/>
      <w:szCs w:val="20"/>
    </w:rPr>
  </w:style>
  <w:style w:type="paragraph" w:customStyle="1" w:styleId="ClauseLevel3CharCharChar">
    <w:name w:val="Clause Level 3 Char Char Char"/>
    <w:autoRedefine/>
    <w:rsid w:val="00983AE6"/>
    <w:pPr>
      <w:keepNext/>
      <w:keepLines/>
      <w:numPr>
        <w:numId w:val="14"/>
      </w:numPr>
      <w:spacing w:before="120" w:after="120" w:line="240" w:lineRule="auto"/>
      <w:ind w:right="-108"/>
    </w:pPr>
    <w:rPr>
      <w:rFonts w:ascii="Arial Narrow" w:eastAsia="Times New Roman" w:hAnsi="Arial Narrow" w:cs="Arial Narrow"/>
      <w:lang w:val="en-GB" w:eastAsia="en-AU"/>
    </w:rPr>
  </w:style>
  <w:style w:type="paragraph" w:customStyle="1" w:styleId="ClauseLevel4CharChar">
    <w:name w:val="Clause Level 4 Char Char"/>
    <w:basedOn w:val="ClauseLevel3CharCharChar"/>
    <w:autoRedefine/>
    <w:rsid w:val="00983AE6"/>
    <w:pPr>
      <w:numPr>
        <w:ilvl w:val="2"/>
      </w:numPr>
      <w:tabs>
        <w:tab w:val="clear" w:pos="2225"/>
        <w:tab w:val="left" w:pos="0"/>
        <w:tab w:val="num" w:pos="1220"/>
        <w:tab w:val="left" w:pos="1260"/>
        <w:tab w:val="num" w:pos="1800"/>
        <w:tab w:val="num" w:pos="2160"/>
      </w:tabs>
      <w:spacing w:before="0"/>
      <w:ind w:left="1260" w:hanging="540"/>
    </w:pPr>
  </w:style>
  <w:style w:type="paragraph" w:customStyle="1" w:styleId="ClauseLevel6">
    <w:name w:val="Clause Level 6"/>
    <w:basedOn w:val="ClauseLevel4CharChar"/>
    <w:next w:val="Normal"/>
    <w:rsid w:val="00983AE6"/>
    <w:pPr>
      <w:numPr>
        <w:ilvl w:val="4"/>
      </w:numPr>
      <w:tabs>
        <w:tab w:val="clear" w:pos="-284"/>
        <w:tab w:val="num" w:pos="1008"/>
        <w:tab w:val="num" w:pos="3600"/>
      </w:tabs>
      <w:ind w:left="3600" w:hanging="360"/>
    </w:pPr>
  </w:style>
  <w:style w:type="paragraph" w:customStyle="1" w:styleId="ClauseLevel7">
    <w:name w:val="Clause Level 7"/>
    <w:basedOn w:val="ClauseLevel4CharChar"/>
    <w:next w:val="Normal"/>
    <w:rsid w:val="00983AE6"/>
    <w:pPr>
      <w:numPr>
        <w:ilvl w:val="5"/>
      </w:numPr>
      <w:tabs>
        <w:tab w:val="clear" w:pos="-284"/>
        <w:tab w:val="num" w:pos="1152"/>
        <w:tab w:val="num" w:pos="4320"/>
      </w:tabs>
      <w:ind w:left="4320" w:hanging="360"/>
    </w:pPr>
  </w:style>
  <w:style w:type="paragraph" w:customStyle="1" w:styleId="ClauseLevel8">
    <w:name w:val="Clause Level 8"/>
    <w:basedOn w:val="ClauseLevel4CharChar"/>
    <w:next w:val="Normal"/>
    <w:rsid w:val="00983AE6"/>
    <w:pPr>
      <w:numPr>
        <w:ilvl w:val="6"/>
      </w:numPr>
      <w:tabs>
        <w:tab w:val="clear" w:pos="-284"/>
        <w:tab w:val="num" w:pos="1296"/>
        <w:tab w:val="num" w:pos="5040"/>
      </w:tabs>
      <w:ind w:left="5040" w:hanging="360"/>
    </w:pPr>
  </w:style>
  <w:style w:type="paragraph" w:customStyle="1" w:styleId="ClauseLevel9">
    <w:name w:val="Clause Level 9"/>
    <w:basedOn w:val="ClauseLevel4CharChar"/>
    <w:next w:val="Normal"/>
    <w:rsid w:val="00983AE6"/>
    <w:pPr>
      <w:numPr>
        <w:ilvl w:val="7"/>
      </w:numPr>
      <w:tabs>
        <w:tab w:val="clear" w:pos="-284"/>
        <w:tab w:val="num" w:pos="1440"/>
        <w:tab w:val="num" w:pos="5760"/>
      </w:tabs>
      <w:ind w:left="5760" w:hanging="360"/>
    </w:pPr>
  </w:style>
  <w:style w:type="paragraph" w:customStyle="1" w:styleId="ClauseLevel10">
    <w:name w:val="Clause Level 10"/>
    <w:basedOn w:val="ClauseLevel4CharChar"/>
    <w:next w:val="Normal"/>
    <w:rsid w:val="00983AE6"/>
    <w:pPr>
      <w:numPr>
        <w:ilvl w:val="8"/>
      </w:numPr>
      <w:tabs>
        <w:tab w:val="clear" w:pos="-284"/>
        <w:tab w:val="num" w:pos="1584"/>
        <w:tab w:val="num" w:pos="6480"/>
      </w:tabs>
      <w:ind w:left="6480" w:hanging="360"/>
    </w:pPr>
  </w:style>
  <w:style w:type="paragraph" w:customStyle="1" w:styleId="sub-paraxCharChar">
    <w:name w:val="sub-para (x) Char Char"/>
    <w:basedOn w:val="Normal"/>
    <w:rsid w:val="00983AE6"/>
    <w:pPr>
      <w:keepLines/>
      <w:numPr>
        <w:numId w:val="15"/>
      </w:numPr>
      <w:spacing w:before="120" w:after="240"/>
    </w:pPr>
    <w:rPr>
      <w:rFonts w:ascii="Arial" w:eastAsia="Times New Roman" w:hAnsi="Arial" w:cs="Arial"/>
    </w:rPr>
  </w:style>
  <w:style w:type="paragraph" w:customStyle="1" w:styleId="paragraphsub">
    <w:name w:val="paragraph(sub)"/>
    <w:aliases w:val="aa"/>
    <w:basedOn w:val="Normal"/>
    <w:rsid w:val="00983AE6"/>
    <w:pPr>
      <w:tabs>
        <w:tab w:val="right" w:pos="1985"/>
      </w:tabs>
      <w:spacing w:before="40" w:after="120"/>
      <w:ind w:left="2098" w:hanging="2098"/>
    </w:pPr>
    <w:rPr>
      <w:rFonts w:ascii="Times New Roman" w:eastAsia="Times New Roman" w:hAnsi="Times New Roman" w:cs="Times New Roman"/>
      <w:szCs w:val="20"/>
    </w:rPr>
  </w:style>
  <w:style w:type="paragraph" w:customStyle="1" w:styleId="LetterBody">
    <w:name w:val="Letter Body"/>
    <w:basedOn w:val="Normal"/>
    <w:rsid w:val="00983AE6"/>
    <w:pPr>
      <w:spacing w:after="120"/>
    </w:pPr>
  </w:style>
  <w:style w:type="character" w:customStyle="1" w:styleId="OPCCharBase">
    <w:name w:val="OPCCharBase"/>
    <w:uiPriority w:val="1"/>
    <w:qFormat/>
    <w:rsid w:val="00983AE6"/>
  </w:style>
  <w:style w:type="paragraph" w:customStyle="1" w:styleId="Tableheading">
    <w:name w:val="Table heading"/>
    <w:basedOn w:val="Normal"/>
    <w:qFormat/>
    <w:rsid w:val="00983AE6"/>
    <w:pPr>
      <w:keepNext/>
      <w:spacing w:before="60" w:after="60"/>
    </w:pPr>
    <w:rPr>
      <w:rFonts w:ascii="Calibri" w:eastAsia="Times New Roman" w:hAnsi="Calibri" w:cs="Times New Roman"/>
      <w:b/>
      <w:szCs w:val="24"/>
    </w:rPr>
  </w:style>
  <w:style w:type="paragraph" w:customStyle="1" w:styleId="Tabletext">
    <w:name w:val="Table text"/>
    <w:basedOn w:val="Normal"/>
    <w:qFormat/>
    <w:rsid w:val="00983AE6"/>
    <w:pPr>
      <w:spacing w:before="60" w:after="60"/>
    </w:pPr>
    <w:rPr>
      <w:rFonts w:ascii="Calibri" w:eastAsia="Times New Roman" w:hAnsi="Calibri" w:cs="Times New Roman"/>
      <w:sz w:val="20"/>
      <w:szCs w:val="24"/>
    </w:rPr>
  </w:style>
  <w:style w:type="paragraph" w:customStyle="1" w:styleId="ActHead1">
    <w:name w:val="ActHead 1"/>
    <w:aliases w:val="c"/>
    <w:basedOn w:val="Normal"/>
    <w:next w:val="Normal"/>
    <w:rsid w:val="00983AE6"/>
    <w:pPr>
      <w:keepNext/>
      <w:keepLines/>
      <w:spacing w:after="120"/>
      <w:ind w:left="1134" w:hanging="1134"/>
      <w:outlineLvl w:val="0"/>
    </w:pPr>
    <w:rPr>
      <w:rFonts w:ascii="Times New Roman" w:eastAsia="Times New Roman" w:hAnsi="Times New Roman" w:cs="Times New Roman"/>
      <w:b/>
      <w:kern w:val="28"/>
      <w:sz w:val="36"/>
      <w:szCs w:val="20"/>
    </w:rPr>
  </w:style>
  <w:style w:type="paragraph" w:customStyle="1" w:styleId="ActHead4">
    <w:name w:val="ActHead 4"/>
    <w:aliases w:val="sd"/>
    <w:basedOn w:val="Normal"/>
    <w:next w:val="ActHead5"/>
    <w:qFormat/>
    <w:rsid w:val="00983AE6"/>
    <w:pPr>
      <w:keepNext/>
      <w:keepLines/>
      <w:spacing w:before="220" w:after="120"/>
      <w:ind w:left="1134" w:hanging="1134"/>
      <w:outlineLvl w:val="3"/>
    </w:pPr>
    <w:rPr>
      <w:rFonts w:ascii="Times New Roman" w:eastAsia="Times New Roman" w:hAnsi="Times New Roman" w:cs="Times New Roman"/>
      <w:b/>
      <w:kern w:val="28"/>
      <w:sz w:val="26"/>
      <w:szCs w:val="20"/>
    </w:rPr>
  </w:style>
  <w:style w:type="character" w:customStyle="1" w:styleId="CharSubdNo">
    <w:name w:val="CharSubdNo"/>
    <w:basedOn w:val="OPCCharBase"/>
    <w:uiPriority w:val="1"/>
    <w:qFormat/>
    <w:rsid w:val="00983AE6"/>
  </w:style>
  <w:style w:type="character" w:customStyle="1" w:styleId="CharSubdText">
    <w:name w:val="CharSubdText"/>
    <w:basedOn w:val="OPCCharBase"/>
    <w:uiPriority w:val="1"/>
    <w:qFormat/>
    <w:rsid w:val="00983AE6"/>
  </w:style>
  <w:style w:type="paragraph" w:customStyle="1" w:styleId="Actno">
    <w:name w:val="Actno"/>
    <w:basedOn w:val="Normal"/>
    <w:next w:val="Normal"/>
    <w:rsid w:val="00983AE6"/>
    <w:pPr>
      <w:spacing w:after="0"/>
    </w:pPr>
    <w:rPr>
      <w:rFonts w:ascii="Times New Roman" w:eastAsia="Times New Roman" w:hAnsi="Times New Roman" w:cs="Times New Roman"/>
      <w:b/>
      <w:sz w:val="40"/>
      <w:szCs w:val="20"/>
      <w:lang w:eastAsia="en-AU"/>
    </w:rPr>
  </w:style>
  <w:style w:type="character" w:customStyle="1" w:styleId="PersonalComposeStyle">
    <w:name w:val="Personal Compose Style"/>
    <w:basedOn w:val="DefaultParagraphFont"/>
    <w:rsid w:val="00983AE6"/>
    <w:rPr>
      <w:rFonts w:ascii="Arial" w:hAnsi="Arial" w:cs="Arial"/>
      <w:color w:val="auto"/>
      <w:sz w:val="20"/>
    </w:rPr>
  </w:style>
  <w:style w:type="character" w:customStyle="1" w:styleId="Heading2-notindexedChar">
    <w:name w:val="Heading 2 - not indexed Char"/>
    <w:basedOn w:val="DefaultParagraphFont"/>
    <w:link w:val="Heading2-notindexed"/>
    <w:locked/>
    <w:rsid w:val="00983AE6"/>
    <w:rPr>
      <w:rFonts w:ascii="Cambria" w:hAnsi="Cambria"/>
      <w:b/>
      <w:bCs/>
      <w:color w:val="4F81BD"/>
    </w:rPr>
  </w:style>
  <w:style w:type="paragraph" w:customStyle="1" w:styleId="Heading2-notindexed">
    <w:name w:val="Heading 2 - not indexed"/>
    <w:basedOn w:val="Normal"/>
    <w:link w:val="Heading2-notindexedChar"/>
    <w:rsid w:val="00983AE6"/>
    <w:pPr>
      <w:keepNext/>
      <w:spacing w:before="200" w:after="0"/>
    </w:pPr>
    <w:rPr>
      <w:rFonts w:ascii="Cambria" w:eastAsiaTheme="minorHAnsi" w:hAnsi="Cambria"/>
      <w:b/>
      <w:bCs/>
      <w:color w:val="4F81BD"/>
    </w:rPr>
  </w:style>
  <w:style w:type="paragraph" w:styleId="TOC4">
    <w:name w:val="toc 4"/>
    <w:basedOn w:val="Normal"/>
    <w:next w:val="Normal"/>
    <w:autoRedefine/>
    <w:uiPriority w:val="39"/>
    <w:unhideWhenUsed/>
    <w:rsid w:val="00983AE6"/>
    <w:pPr>
      <w:spacing w:after="100" w:line="276" w:lineRule="auto"/>
      <w:ind w:left="660"/>
    </w:pPr>
    <w:rPr>
      <w:lang w:eastAsia="en-AU"/>
    </w:rPr>
  </w:style>
  <w:style w:type="paragraph" w:styleId="TOC5">
    <w:name w:val="toc 5"/>
    <w:basedOn w:val="Normal"/>
    <w:next w:val="Normal"/>
    <w:autoRedefine/>
    <w:uiPriority w:val="39"/>
    <w:unhideWhenUsed/>
    <w:rsid w:val="00983AE6"/>
    <w:pPr>
      <w:spacing w:after="100" w:line="276" w:lineRule="auto"/>
      <w:ind w:left="880"/>
    </w:pPr>
    <w:rPr>
      <w:lang w:eastAsia="en-AU"/>
    </w:rPr>
  </w:style>
  <w:style w:type="paragraph" w:styleId="TOC6">
    <w:name w:val="toc 6"/>
    <w:basedOn w:val="Normal"/>
    <w:next w:val="Normal"/>
    <w:autoRedefine/>
    <w:uiPriority w:val="39"/>
    <w:unhideWhenUsed/>
    <w:rsid w:val="00983AE6"/>
    <w:pPr>
      <w:spacing w:after="100" w:line="276" w:lineRule="auto"/>
      <w:ind w:left="1100"/>
    </w:pPr>
    <w:rPr>
      <w:lang w:eastAsia="en-AU"/>
    </w:rPr>
  </w:style>
  <w:style w:type="paragraph" w:styleId="TOC7">
    <w:name w:val="toc 7"/>
    <w:basedOn w:val="Normal"/>
    <w:next w:val="Normal"/>
    <w:autoRedefine/>
    <w:uiPriority w:val="39"/>
    <w:unhideWhenUsed/>
    <w:rsid w:val="00983AE6"/>
    <w:pPr>
      <w:spacing w:after="100" w:line="276" w:lineRule="auto"/>
      <w:ind w:left="1320"/>
    </w:pPr>
    <w:rPr>
      <w:lang w:eastAsia="en-AU"/>
    </w:rPr>
  </w:style>
  <w:style w:type="paragraph" w:styleId="TOC8">
    <w:name w:val="toc 8"/>
    <w:basedOn w:val="Normal"/>
    <w:next w:val="Normal"/>
    <w:autoRedefine/>
    <w:uiPriority w:val="39"/>
    <w:unhideWhenUsed/>
    <w:rsid w:val="00983AE6"/>
    <w:pPr>
      <w:spacing w:after="100" w:line="276" w:lineRule="auto"/>
      <w:ind w:left="1540"/>
    </w:pPr>
    <w:rPr>
      <w:lang w:eastAsia="en-AU"/>
    </w:rPr>
  </w:style>
  <w:style w:type="paragraph" w:styleId="TOC9">
    <w:name w:val="toc 9"/>
    <w:basedOn w:val="Normal"/>
    <w:next w:val="Normal"/>
    <w:autoRedefine/>
    <w:uiPriority w:val="39"/>
    <w:unhideWhenUsed/>
    <w:rsid w:val="00983AE6"/>
    <w:pPr>
      <w:spacing w:after="100" w:line="276" w:lineRule="auto"/>
      <w:ind w:left="1760"/>
    </w:pPr>
    <w:rPr>
      <w:lang w:eastAsia="en-AU"/>
    </w:rPr>
  </w:style>
  <w:style w:type="paragraph" w:customStyle="1" w:styleId="Penalty">
    <w:name w:val="Penalty"/>
    <w:basedOn w:val="Normal"/>
    <w:rsid w:val="00983AE6"/>
    <w:pPr>
      <w:tabs>
        <w:tab w:val="left" w:pos="2977"/>
      </w:tabs>
      <w:spacing w:before="180" w:after="0"/>
      <w:ind w:left="1985" w:hanging="851"/>
    </w:pPr>
    <w:rPr>
      <w:rFonts w:ascii="Times New Roman" w:eastAsia="Times New Roman" w:hAnsi="Times New Roman" w:cs="Times New Roman"/>
      <w:szCs w:val="20"/>
      <w:lang w:eastAsia="en-AU"/>
    </w:rPr>
  </w:style>
  <w:style w:type="paragraph" w:customStyle="1" w:styleId="alphabetpoint">
    <w:name w:val="alphabet point"/>
    <w:basedOn w:val="ListParagraph"/>
    <w:link w:val="alphabetpointChar"/>
    <w:qFormat/>
    <w:rsid w:val="00983AE6"/>
    <w:pPr>
      <w:numPr>
        <w:numId w:val="23"/>
      </w:numPr>
      <w:spacing w:after="120"/>
    </w:pPr>
    <w:rPr>
      <w:rFonts w:cstheme="minorHAnsi"/>
    </w:rPr>
  </w:style>
  <w:style w:type="paragraph" w:customStyle="1" w:styleId="numberpoint">
    <w:name w:val="number point"/>
    <w:basedOn w:val="ListParagraph"/>
    <w:link w:val="numberpointChar"/>
    <w:qFormat/>
    <w:rsid w:val="00983AE6"/>
    <w:pPr>
      <w:numPr>
        <w:numId w:val="16"/>
      </w:numPr>
      <w:spacing w:after="120"/>
    </w:pPr>
    <w:rPr>
      <w:rFonts w:cstheme="minorHAnsi"/>
    </w:rPr>
  </w:style>
  <w:style w:type="character" w:customStyle="1" w:styleId="alphabetpointChar">
    <w:name w:val="alphabet point Char"/>
    <w:basedOn w:val="ListParagraphChar"/>
    <w:link w:val="alphabetpoint"/>
    <w:rsid w:val="00983AE6"/>
    <w:rPr>
      <w:rFonts w:eastAsiaTheme="minorEastAsia" w:cstheme="minorHAnsi"/>
    </w:rPr>
  </w:style>
  <w:style w:type="paragraph" w:customStyle="1" w:styleId="ipoints">
    <w:name w:val="i points"/>
    <w:basedOn w:val="ListParagraph"/>
    <w:link w:val="ipointsChar"/>
    <w:qFormat/>
    <w:rsid w:val="00983AE6"/>
    <w:pPr>
      <w:numPr>
        <w:numId w:val="20"/>
      </w:numPr>
      <w:spacing w:after="120" w:line="276" w:lineRule="auto"/>
      <w:ind w:left="993" w:hanging="284"/>
    </w:pPr>
    <w:rPr>
      <w:rFonts w:cstheme="minorHAnsi"/>
    </w:rPr>
  </w:style>
  <w:style w:type="character" w:customStyle="1" w:styleId="numberpointChar">
    <w:name w:val="number point Char"/>
    <w:basedOn w:val="ListParagraphChar"/>
    <w:link w:val="numberpoint"/>
    <w:rsid w:val="00983AE6"/>
    <w:rPr>
      <w:rFonts w:eastAsiaTheme="minorEastAsia" w:cstheme="minorHAnsi"/>
    </w:rPr>
  </w:style>
  <w:style w:type="paragraph" w:customStyle="1" w:styleId="tablesubheading">
    <w:name w:val="table subheading"/>
    <w:basedOn w:val="Normal"/>
    <w:link w:val="tablesubheadingChar"/>
    <w:qFormat/>
    <w:rsid w:val="00983AE6"/>
    <w:pPr>
      <w:spacing w:before="60" w:afterLines="60" w:after="144"/>
    </w:pPr>
    <w:rPr>
      <w:rFonts w:eastAsia="Times New Roman" w:cstheme="minorHAnsi"/>
      <w:b/>
      <w:i/>
      <w:color w:val="EEECE1" w:themeColor="background2"/>
      <w:sz w:val="20"/>
      <w:szCs w:val="20"/>
      <w:lang w:eastAsia="en-AU"/>
    </w:rPr>
  </w:style>
  <w:style w:type="character" w:customStyle="1" w:styleId="ipointsChar">
    <w:name w:val="i points Char"/>
    <w:basedOn w:val="ListParagraphChar"/>
    <w:link w:val="ipoints"/>
    <w:rsid w:val="00983AE6"/>
    <w:rPr>
      <w:rFonts w:eastAsiaTheme="minorEastAsia" w:cstheme="minorHAnsi"/>
    </w:rPr>
  </w:style>
  <w:style w:type="character" w:customStyle="1" w:styleId="tablesubheadingChar">
    <w:name w:val="table subheading Char"/>
    <w:basedOn w:val="DefaultParagraphFont"/>
    <w:link w:val="tablesubheading"/>
    <w:rsid w:val="00983AE6"/>
    <w:rPr>
      <w:rFonts w:eastAsia="Times New Roman" w:cstheme="minorHAnsi"/>
      <w:b/>
      <w:i/>
      <w:color w:val="EEECE1" w:themeColor="background2"/>
      <w:sz w:val="20"/>
      <w:szCs w:val="20"/>
      <w:lang w:eastAsia="en-AU"/>
    </w:rPr>
  </w:style>
  <w:style w:type="paragraph" w:styleId="NormalWeb">
    <w:name w:val="Normal (Web)"/>
    <w:basedOn w:val="Normal"/>
    <w:uiPriority w:val="99"/>
    <w:semiHidden/>
    <w:unhideWhenUsed/>
    <w:rsid w:val="00C67A85"/>
    <w:pPr>
      <w:spacing w:before="100" w:beforeAutospacing="1" w:after="100" w:afterAutospacing="1"/>
    </w:pPr>
    <w:rPr>
      <w:rFonts w:ascii="Times New Roman" w:hAnsi="Times New Roman" w:cs="Times New Roman"/>
      <w:sz w:val="24"/>
      <w:szCs w:val="24"/>
      <w:lang w:eastAsia="en-AU"/>
    </w:rPr>
  </w:style>
  <w:style w:type="table" w:customStyle="1" w:styleId="GridTable21">
    <w:name w:val="Grid Table 21"/>
    <w:basedOn w:val="TableNormal"/>
    <w:uiPriority w:val="47"/>
    <w:rsid w:val="00061E3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061E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1">
    <w:name w:val="List Table 21"/>
    <w:basedOn w:val="TableNormal"/>
    <w:uiPriority w:val="47"/>
    <w:rsid w:val="00061E3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2E48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head50">
    <w:name w:val="acthead5"/>
    <w:basedOn w:val="Normal"/>
    <w:rsid w:val="005459A0"/>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136">
      <w:bodyDiv w:val="1"/>
      <w:marLeft w:val="0"/>
      <w:marRight w:val="0"/>
      <w:marTop w:val="0"/>
      <w:marBottom w:val="0"/>
      <w:divBdr>
        <w:top w:val="none" w:sz="0" w:space="0" w:color="auto"/>
        <w:left w:val="none" w:sz="0" w:space="0" w:color="auto"/>
        <w:bottom w:val="none" w:sz="0" w:space="0" w:color="auto"/>
        <w:right w:val="none" w:sz="0" w:space="0" w:color="auto"/>
      </w:divBdr>
    </w:div>
    <w:div w:id="172687553">
      <w:bodyDiv w:val="1"/>
      <w:marLeft w:val="0"/>
      <w:marRight w:val="0"/>
      <w:marTop w:val="0"/>
      <w:marBottom w:val="0"/>
      <w:divBdr>
        <w:top w:val="none" w:sz="0" w:space="0" w:color="auto"/>
        <w:left w:val="none" w:sz="0" w:space="0" w:color="auto"/>
        <w:bottom w:val="none" w:sz="0" w:space="0" w:color="auto"/>
        <w:right w:val="none" w:sz="0" w:space="0" w:color="auto"/>
      </w:divBdr>
    </w:div>
    <w:div w:id="184178189">
      <w:bodyDiv w:val="1"/>
      <w:marLeft w:val="0"/>
      <w:marRight w:val="0"/>
      <w:marTop w:val="0"/>
      <w:marBottom w:val="0"/>
      <w:divBdr>
        <w:top w:val="none" w:sz="0" w:space="0" w:color="auto"/>
        <w:left w:val="none" w:sz="0" w:space="0" w:color="auto"/>
        <w:bottom w:val="none" w:sz="0" w:space="0" w:color="auto"/>
        <w:right w:val="none" w:sz="0" w:space="0" w:color="auto"/>
      </w:divBdr>
    </w:div>
    <w:div w:id="281034896">
      <w:bodyDiv w:val="1"/>
      <w:marLeft w:val="0"/>
      <w:marRight w:val="0"/>
      <w:marTop w:val="0"/>
      <w:marBottom w:val="0"/>
      <w:divBdr>
        <w:top w:val="none" w:sz="0" w:space="0" w:color="auto"/>
        <w:left w:val="none" w:sz="0" w:space="0" w:color="auto"/>
        <w:bottom w:val="none" w:sz="0" w:space="0" w:color="auto"/>
        <w:right w:val="none" w:sz="0" w:space="0" w:color="auto"/>
      </w:divBdr>
    </w:div>
    <w:div w:id="360711497">
      <w:bodyDiv w:val="1"/>
      <w:marLeft w:val="0"/>
      <w:marRight w:val="0"/>
      <w:marTop w:val="0"/>
      <w:marBottom w:val="0"/>
      <w:divBdr>
        <w:top w:val="none" w:sz="0" w:space="0" w:color="auto"/>
        <w:left w:val="none" w:sz="0" w:space="0" w:color="auto"/>
        <w:bottom w:val="none" w:sz="0" w:space="0" w:color="auto"/>
        <w:right w:val="none" w:sz="0" w:space="0" w:color="auto"/>
      </w:divBdr>
      <w:divsChild>
        <w:div w:id="2091468205">
          <w:marLeft w:val="0"/>
          <w:marRight w:val="0"/>
          <w:marTop w:val="0"/>
          <w:marBottom w:val="0"/>
          <w:divBdr>
            <w:top w:val="none" w:sz="0" w:space="0" w:color="auto"/>
            <w:left w:val="none" w:sz="0" w:space="0" w:color="auto"/>
            <w:bottom w:val="none" w:sz="0" w:space="0" w:color="auto"/>
            <w:right w:val="none" w:sz="0" w:space="0" w:color="auto"/>
          </w:divBdr>
          <w:divsChild>
            <w:div w:id="117921187">
              <w:marLeft w:val="0"/>
              <w:marRight w:val="0"/>
              <w:marTop w:val="0"/>
              <w:marBottom w:val="0"/>
              <w:divBdr>
                <w:top w:val="none" w:sz="0" w:space="0" w:color="auto"/>
                <w:left w:val="none" w:sz="0" w:space="0" w:color="auto"/>
                <w:bottom w:val="none" w:sz="0" w:space="0" w:color="auto"/>
                <w:right w:val="none" w:sz="0" w:space="0" w:color="auto"/>
              </w:divBdr>
              <w:divsChild>
                <w:div w:id="1417241801">
                  <w:marLeft w:val="0"/>
                  <w:marRight w:val="0"/>
                  <w:marTop w:val="0"/>
                  <w:marBottom w:val="0"/>
                  <w:divBdr>
                    <w:top w:val="none" w:sz="0" w:space="0" w:color="auto"/>
                    <w:left w:val="none" w:sz="0" w:space="0" w:color="auto"/>
                    <w:bottom w:val="none" w:sz="0" w:space="0" w:color="auto"/>
                    <w:right w:val="none" w:sz="0" w:space="0" w:color="auto"/>
                  </w:divBdr>
                  <w:divsChild>
                    <w:div w:id="2073581102">
                      <w:marLeft w:val="0"/>
                      <w:marRight w:val="0"/>
                      <w:marTop w:val="0"/>
                      <w:marBottom w:val="0"/>
                      <w:divBdr>
                        <w:top w:val="none" w:sz="0" w:space="0" w:color="auto"/>
                        <w:left w:val="none" w:sz="0" w:space="0" w:color="auto"/>
                        <w:bottom w:val="none" w:sz="0" w:space="0" w:color="auto"/>
                        <w:right w:val="none" w:sz="0" w:space="0" w:color="auto"/>
                      </w:divBdr>
                      <w:divsChild>
                        <w:div w:id="1770807803">
                          <w:marLeft w:val="0"/>
                          <w:marRight w:val="0"/>
                          <w:marTop w:val="0"/>
                          <w:marBottom w:val="0"/>
                          <w:divBdr>
                            <w:top w:val="none" w:sz="0" w:space="0" w:color="auto"/>
                            <w:left w:val="none" w:sz="0" w:space="0" w:color="auto"/>
                            <w:bottom w:val="none" w:sz="0" w:space="0" w:color="auto"/>
                            <w:right w:val="none" w:sz="0" w:space="0" w:color="auto"/>
                          </w:divBdr>
                          <w:divsChild>
                            <w:div w:id="1824665002">
                              <w:marLeft w:val="0"/>
                              <w:marRight w:val="0"/>
                              <w:marTop w:val="0"/>
                              <w:marBottom w:val="0"/>
                              <w:divBdr>
                                <w:top w:val="none" w:sz="0" w:space="0" w:color="auto"/>
                                <w:left w:val="none" w:sz="0" w:space="0" w:color="auto"/>
                                <w:bottom w:val="none" w:sz="0" w:space="0" w:color="auto"/>
                                <w:right w:val="none" w:sz="0" w:space="0" w:color="auto"/>
                              </w:divBdr>
                              <w:divsChild>
                                <w:div w:id="1769962204">
                                  <w:marLeft w:val="0"/>
                                  <w:marRight w:val="0"/>
                                  <w:marTop w:val="0"/>
                                  <w:marBottom w:val="0"/>
                                  <w:divBdr>
                                    <w:top w:val="none" w:sz="0" w:space="0" w:color="auto"/>
                                    <w:left w:val="none" w:sz="0" w:space="0" w:color="auto"/>
                                    <w:bottom w:val="none" w:sz="0" w:space="0" w:color="auto"/>
                                    <w:right w:val="none" w:sz="0" w:space="0" w:color="auto"/>
                                  </w:divBdr>
                                  <w:divsChild>
                                    <w:div w:id="3830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510889">
      <w:bodyDiv w:val="1"/>
      <w:marLeft w:val="0"/>
      <w:marRight w:val="0"/>
      <w:marTop w:val="0"/>
      <w:marBottom w:val="0"/>
      <w:divBdr>
        <w:top w:val="none" w:sz="0" w:space="0" w:color="auto"/>
        <w:left w:val="none" w:sz="0" w:space="0" w:color="auto"/>
        <w:bottom w:val="none" w:sz="0" w:space="0" w:color="auto"/>
        <w:right w:val="none" w:sz="0" w:space="0" w:color="auto"/>
      </w:divBdr>
    </w:div>
    <w:div w:id="499393258">
      <w:bodyDiv w:val="1"/>
      <w:marLeft w:val="0"/>
      <w:marRight w:val="0"/>
      <w:marTop w:val="0"/>
      <w:marBottom w:val="0"/>
      <w:divBdr>
        <w:top w:val="none" w:sz="0" w:space="0" w:color="auto"/>
        <w:left w:val="none" w:sz="0" w:space="0" w:color="auto"/>
        <w:bottom w:val="none" w:sz="0" w:space="0" w:color="auto"/>
        <w:right w:val="none" w:sz="0" w:space="0" w:color="auto"/>
      </w:divBdr>
    </w:div>
    <w:div w:id="516314474">
      <w:bodyDiv w:val="1"/>
      <w:marLeft w:val="0"/>
      <w:marRight w:val="0"/>
      <w:marTop w:val="0"/>
      <w:marBottom w:val="0"/>
      <w:divBdr>
        <w:top w:val="none" w:sz="0" w:space="0" w:color="auto"/>
        <w:left w:val="none" w:sz="0" w:space="0" w:color="auto"/>
        <w:bottom w:val="none" w:sz="0" w:space="0" w:color="auto"/>
        <w:right w:val="none" w:sz="0" w:space="0" w:color="auto"/>
      </w:divBdr>
    </w:div>
    <w:div w:id="555702631">
      <w:bodyDiv w:val="1"/>
      <w:marLeft w:val="0"/>
      <w:marRight w:val="0"/>
      <w:marTop w:val="0"/>
      <w:marBottom w:val="0"/>
      <w:divBdr>
        <w:top w:val="none" w:sz="0" w:space="0" w:color="auto"/>
        <w:left w:val="none" w:sz="0" w:space="0" w:color="auto"/>
        <w:bottom w:val="none" w:sz="0" w:space="0" w:color="auto"/>
        <w:right w:val="none" w:sz="0" w:space="0" w:color="auto"/>
      </w:divBdr>
    </w:div>
    <w:div w:id="563108504">
      <w:bodyDiv w:val="1"/>
      <w:marLeft w:val="0"/>
      <w:marRight w:val="0"/>
      <w:marTop w:val="0"/>
      <w:marBottom w:val="0"/>
      <w:divBdr>
        <w:top w:val="none" w:sz="0" w:space="0" w:color="auto"/>
        <w:left w:val="none" w:sz="0" w:space="0" w:color="auto"/>
        <w:bottom w:val="none" w:sz="0" w:space="0" w:color="auto"/>
        <w:right w:val="none" w:sz="0" w:space="0" w:color="auto"/>
      </w:divBdr>
    </w:div>
    <w:div w:id="603734286">
      <w:bodyDiv w:val="1"/>
      <w:marLeft w:val="0"/>
      <w:marRight w:val="0"/>
      <w:marTop w:val="0"/>
      <w:marBottom w:val="0"/>
      <w:divBdr>
        <w:top w:val="none" w:sz="0" w:space="0" w:color="auto"/>
        <w:left w:val="none" w:sz="0" w:space="0" w:color="auto"/>
        <w:bottom w:val="none" w:sz="0" w:space="0" w:color="auto"/>
        <w:right w:val="none" w:sz="0" w:space="0" w:color="auto"/>
      </w:divBdr>
    </w:div>
    <w:div w:id="607464572">
      <w:bodyDiv w:val="1"/>
      <w:marLeft w:val="0"/>
      <w:marRight w:val="0"/>
      <w:marTop w:val="0"/>
      <w:marBottom w:val="0"/>
      <w:divBdr>
        <w:top w:val="none" w:sz="0" w:space="0" w:color="auto"/>
        <w:left w:val="none" w:sz="0" w:space="0" w:color="auto"/>
        <w:bottom w:val="none" w:sz="0" w:space="0" w:color="auto"/>
        <w:right w:val="none" w:sz="0" w:space="0" w:color="auto"/>
      </w:divBdr>
    </w:div>
    <w:div w:id="639917487">
      <w:bodyDiv w:val="1"/>
      <w:marLeft w:val="0"/>
      <w:marRight w:val="0"/>
      <w:marTop w:val="0"/>
      <w:marBottom w:val="0"/>
      <w:divBdr>
        <w:top w:val="none" w:sz="0" w:space="0" w:color="auto"/>
        <w:left w:val="none" w:sz="0" w:space="0" w:color="auto"/>
        <w:bottom w:val="none" w:sz="0" w:space="0" w:color="auto"/>
        <w:right w:val="none" w:sz="0" w:space="0" w:color="auto"/>
      </w:divBdr>
    </w:div>
    <w:div w:id="687491043">
      <w:bodyDiv w:val="1"/>
      <w:marLeft w:val="0"/>
      <w:marRight w:val="0"/>
      <w:marTop w:val="0"/>
      <w:marBottom w:val="0"/>
      <w:divBdr>
        <w:top w:val="none" w:sz="0" w:space="0" w:color="auto"/>
        <w:left w:val="none" w:sz="0" w:space="0" w:color="auto"/>
        <w:bottom w:val="none" w:sz="0" w:space="0" w:color="auto"/>
        <w:right w:val="none" w:sz="0" w:space="0" w:color="auto"/>
      </w:divBdr>
    </w:div>
    <w:div w:id="688291423">
      <w:bodyDiv w:val="1"/>
      <w:marLeft w:val="0"/>
      <w:marRight w:val="0"/>
      <w:marTop w:val="0"/>
      <w:marBottom w:val="0"/>
      <w:divBdr>
        <w:top w:val="none" w:sz="0" w:space="0" w:color="auto"/>
        <w:left w:val="none" w:sz="0" w:space="0" w:color="auto"/>
        <w:bottom w:val="none" w:sz="0" w:space="0" w:color="auto"/>
        <w:right w:val="none" w:sz="0" w:space="0" w:color="auto"/>
      </w:divBdr>
    </w:div>
    <w:div w:id="703410725">
      <w:bodyDiv w:val="1"/>
      <w:marLeft w:val="0"/>
      <w:marRight w:val="0"/>
      <w:marTop w:val="0"/>
      <w:marBottom w:val="0"/>
      <w:divBdr>
        <w:top w:val="none" w:sz="0" w:space="0" w:color="auto"/>
        <w:left w:val="none" w:sz="0" w:space="0" w:color="auto"/>
        <w:bottom w:val="none" w:sz="0" w:space="0" w:color="auto"/>
        <w:right w:val="none" w:sz="0" w:space="0" w:color="auto"/>
      </w:divBdr>
    </w:div>
    <w:div w:id="755052423">
      <w:bodyDiv w:val="1"/>
      <w:marLeft w:val="0"/>
      <w:marRight w:val="0"/>
      <w:marTop w:val="0"/>
      <w:marBottom w:val="0"/>
      <w:divBdr>
        <w:top w:val="none" w:sz="0" w:space="0" w:color="auto"/>
        <w:left w:val="none" w:sz="0" w:space="0" w:color="auto"/>
        <w:bottom w:val="none" w:sz="0" w:space="0" w:color="auto"/>
        <w:right w:val="none" w:sz="0" w:space="0" w:color="auto"/>
      </w:divBdr>
    </w:div>
    <w:div w:id="825515635">
      <w:bodyDiv w:val="1"/>
      <w:marLeft w:val="0"/>
      <w:marRight w:val="0"/>
      <w:marTop w:val="0"/>
      <w:marBottom w:val="0"/>
      <w:divBdr>
        <w:top w:val="none" w:sz="0" w:space="0" w:color="auto"/>
        <w:left w:val="none" w:sz="0" w:space="0" w:color="auto"/>
        <w:bottom w:val="none" w:sz="0" w:space="0" w:color="auto"/>
        <w:right w:val="none" w:sz="0" w:space="0" w:color="auto"/>
      </w:divBdr>
    </w:div>
    <w:div w:id="838807818">
      <w:bodyDiv w:val="1"/>
      <w:marLeft w:val="0"/>
      <w:marRight w:val="0"/>
      <w:marTop w:val="0"/>
      <w:marBottom w:val="0"/>
      <w:divBdr>
        <w:top w:val="none" w:sz="0" w:space="0" w:color="auto"/>
        <w:left w:val="none" w:sz="0" w:space="0" w:color="auto"/>
        <w:bottom w:val="none" w:sz="0" w:space="0" w:color="auto"/>
        <w:right w:val="none" w:sz="0" w:space="0" w:color="auto"/>
      </w:divBdr>
    </w:div>
    <w:div w:id="864632731">
      <w:bodyDiv w:val="1"/>
      <w:marLeft w:val="0"/>
      <w:marRight w:val="0"/>
      <w:marTop w:val="0"/>
      <w:marBottom w:val="0"/>
      <w:divBdr>
        <w:top w:val="none" w:sz="0" w:space="0" w:color="auto"/>
        <w:left w:val="none" w:sz="0" w:space="0" w:color="auto"/>
        <w:bottom w:val="none" w:sz="0" w:space="0" w:color="auto"/>
        <w:right w:val="none" w:sz="0" w:space="0" w:color="auto"/>
      </w:divBdr>
    </w:div>
    <w:div w:id="905603966">
      <w:bodyDiv w:val="1"/>
      <w:marLeft w:val="0"/>
      <w:marRight w:val="0"/>
      <w:marTop w:val="0"/>
      <w:marBottom w:val="0"/>
      <w:divBdr>
        <w:top w:val="none" w:sz="0" w:space="0" w:color="auto"/>
        <w:left w:val="none" w:sz="0" w:space="0" w:color="auto"/>
        <w:bottom w:val="none" w:sz="0" w:space="0" w:color="auto"/>
        <w:right w:val="none" w:sz="0" w:space="0" w:color="auto"/>
      </w:divBdr>
    </w:div>
    <w:div w:id="933829256">
      <w:bodyDiv w:val="1"/>
      <w:marLeft w:val="0"/>
      <w:marRight w:val="0"/>
      <w:marTop w:val="0"/>
      <w:marBottom w:val="0"/>
      <w:divBdr>
        <w:top w:val="none" w:sz="0" w:space="0" w:color="auto"/>
        <w:left w:val="none" w:sz="0" w:space="0" w:color="auto"/>
        <w:bottom w:val="none" w:sz="0" w:space="0" w:color="auto"/>
        <w:right w:val="none" w:sz="0" w:space="0" w:color="auto"/>
      </w:divBdr>
    </w:div>
    <w:div w:id="961837068">
      <w:bodyDiv w:val="1"/>
      <w:marLeft w:val="0"/>
      <w:marRight w:val="0"/>
      <w:marTop w:val="0"/>
      <w:marBottom w:val="0"/>
      <w:divBdr>
        <w:top w:val="none" w:sz="0" w:space="0" w:color="auto"/>
        <w:left w:val="none" w:sz="0" w:space="0" w:color="auto"/>
        <w:bottom w:val="none" w:sz="0" w:space="0" w:color="auto"/>
        <w:right w:val="none" w:sz="0" w:space="0" w:color="auto"/>
      </w:divBdr>
    </w:div>
    <w:div w:id="966857627">
      <w:bodyDiv w:val="1"/>
      <w:marLeft w:val="0"/>
      <w:marRight w:val="0"/>
      <w:marTop w:val="0"/>
      <w:marBottom w:val="0"/>
      <w:divBdr>
        <w:top w:val="none" w:sz="0" w:space="0" w:color="auto"/>
        <w:left w:val="none" w:sz="0" w:space="0" w:color="auto"/>
        <w:bottom w:val="none" w:sz="0" w:space="0" w:color="auto"/>
        <w:right w:val="none" w:sz="0" w:space="0" w:color="auto"/>
      </w:divBdr>
    </w:div>
    <w:div w:id="1029600516">
      <w:bodyDiv w:val="1"/>
      <w:marLeft w:val="0"/>
      <w:marRight w:val="0"/>
      <w:marTop w:val="0"/>
      <w:marBottom w:val="0"/>
      <w:divBdr>
        <w:top w:val="none" w:sz="0" w:space="0" w:color="auto"/>
        <w:left w:val="none" w:sz="0" w:space="0" w:color="auto"/>
        <w:bottom w:val="none" w:sz="0" w:space="0" w:color="auto"/>
        <w:right w:val="none" w:sz="0" w:space="0" w:color="auto"/>
      </w:divBdr>
    </w:div>
    <w:div w:id="1030838290">
      <w:bodyDiv w:val="1"/>
      <w:marLeft w:val="0"/>
      <w:marRight w:val="0"/>
      <w:marTop w:val="0"/>
      <w:marBottom w:val="0"/>
      <w:divBdr>
        <w:top w:val="none" w:sz="0" w:space="0" w:color="auto"/>
        <w:left w:val="none" w:sz="0" w:space="0" w:color="auto"/>
        <w:bottom w:val="none" w:sz="0" w:space="0" w:color="auto"/>
        <w:right w:val="none" w:sz="0" w:space="0" w:color="auto"/>
      </w:divBdr>
    </w:div>
    <w:div w:id="1094742059">
      <w:bodyDiv w:val="1"/>
      <w:marLeft w:val="0"/>
      <w:marRight w:val="0"/>
      <w:marTop w:val="0"/>
      <w:marBottom w:val="0"/>
      <w:divBdr>
        <w:top w:val="none" w:sz="0" w:space="0" w:color="auto"/>
        <w:left w:val="none" w:sz="0" w:space="0" w:color="auto"/>
        <w:bottom w:val="none" w:sz="0" w:space="0" w:color="auto"/>
        <w:right w:val="none" w:sz="0" w:space="0" w:color="auto"/>
      </w:divBdr>
    </w:div>
    <w:div w:id="1106190563">
      <w:bodyDiv w:val="1"/>
      <w:marLeft w:val="0"/>
      <w:marRight w:val="0"/>
      <w:marTop w:val="0"/>
      <w:marBottom w:val="0"/>
      <w:divBdr>
        <w:top w:val="none" w:sz="0" w:space="0" w:color="auto"/>
        <w:left w:val="none" w:sz="0" w:space="0" w:color="auto"/>
        <w:bottom w:val="none" w:sz="0" w:space="0" w:color="auto"/>
        <w:right w:val="none" w:sz="0" w:space="0" w:color="auto"/>
      </w:divBdr>
    </w:div>
    <w:div w:id="1150905996">
      <w:bodyDiv w:val="1"/>
      <w:marLeft w:val="0"/>
      <w:marRight w:val="0"/>
      <w:marTop w:val="0"/>
      <w:marBottom w:val="0"/>
      <w:divBdr>
        <w:top w:val="none" w:sz="0" w:space="0" w:color="auto"/>
        <w:left w:val="none" w:sz="0" w:space="0" w:color="auto"/>
        <w:bottom w:val="none" w:sz="0" w:space="0" w:color="auto"/>
        <w:right w:val="none" w:sz="0" w:space="0" w:color="auto"/>
      </w:divBdr>
    </w:div>
    <w:div w:id="1189176104">
      <w:bodyDiv w:val="1"/>
      <w:marLeft w:val="0"/>
      <w:marRight w:val="0"/>
      <w:marTop w:val="0"/>
      <w:marBottom w:val="0"/>
      <w:divBdr>
        <w:top w:val="none" w:sz="0" w:space="0" w:color="auto"/>
        <w:left w:val="none" w:sz="0" w:space="0" w:color="auto"/>
        <w:bottom w:val="none" w:sz="0" w:space="0" w:color="auto"/>
        <w:right w:val="none" w:sz="0" w:space="0" w:color="auto"/>
      </w:divBdr>
    </w:div>
    <w:div w:id="1199397988">
      <w:bodyDiv w:val="1"/>
      <w:marLeft w:val="0"/>
      <w:marRight w:val="0"/>
      <w:marTop w:val="0"/>
      <w:marBottom w:val="0"/>
      <w:divBdr>
        <w:top w:val="none" w:sz="0" w:space="0" w:color="auto"/>
        <w:left w:val="none" w:sz="0" w:space="0" w:color="auto"/>
        <w:bottom w:val="none" w:sz="0" w:space="0" w:color="auto"/>
        <w:right w:val="none" w:sz="0" w:space="0" w:color="auto"/>
      </w:divBdr>
    </w:div>
    <w:div w:id="1264611495">
      <w:bodyDiv w:val="1"/>
      <w:marLeft w:val="0"/>
      <w:marRight w:val="0"/>
      <w:marTop w:val="0"/>
      <w:marBottom w:val="0"/>
      <w:divBdr>
        <w:top w:val="none" w:sz="0" w:space="0" w:color="auto"/>
        <w:left w:val="none" w:sz="0" w:space="0" w:color="auto"/>
        <w:bottom w:val="none" w:sz="0" w:space="0" w:color="auto"/>
        <w:right w:val="none" w:sz="0" w:space="0" w:color="auto"/>
      </w:divBdr>
    </w:div>
    <w:div w:id="1286692578">
      <w:bodyDiv w:val="1"/>
      <w:marLeft w:val="0"/>
      <w:marRight w:val="0"/>
      <w:marTop w:val="0"/>
      <w:marBottom w:val="0"/>
      <w:divBdr>
        <w:top w:val="none" w:sz="0" w:space="0" w:color="auto"/>
        <w:left w:val="none" w:sz="0" w:space="0" w:color="auto"/>
        <w:bottom w:val="none" w:sz="0" w:space="0" w:color="auto"/>
        <w:right w:val="none" w:sz="0" w:space="0" w:color="auto"/>
      </w:divBdr>
    </w:div>
    <w:div w:id="1308435473">
      <w:bodyDiv w:val="1"/>
      <w:marLeft w:val="0"/>
      <w:marRight w:val="0"/>
      <w:marTop w:val="0"/>
      <w:marBottom w:val="0"/>
      <w:divBdr>
        <w:top w:val="none" w:sz="0" w:space="0" w:color="auto"/>
        <w:left w:val="none" w:sz="0" w:space="0" w:color="auto"/>
        <w:bottom w:val="none" w:sz="0" w:space="0" w:color="auto"/>
        <w:right w:val="none" w:sz="0" w:space="0" w:color="auto"/>
      </w:divBdr>
    </w:div>
    <w:div w:id="1472794277">
      <w:bodyDiv w:val="1"/>
      <w:marLeft w:val="0"/>
      <w:marRight w:val="0"/>
      <w:marTop w:val="0"/>
      <w:marBottom w:val="0"/>
      <w:divBdr>
        <w:top w:val="none" w:sz="0" w:space="0" w:color="auto"/>
        <w:left w:val="none" w:sz="0" w:space="0" w:color="auto"/>
        <w:bottom w:val="none" w:sz="0" w:space="0" w:color="auto"/>
        <w:right w:val="none" w:sz="0" w:space="0" w:color="auto"/>
      </w:divBdr>
      <w:divsChild>
        <w:div w:id="1328559036">
          <w:marLeft w:val="0"/>
          <w:marRight w:val="0"/>
          <w:marTop w:val="0"/>
          <w:marBottom w:val="0"/>
          <w:divBdr>
            <w:top w:val="none" w:sz="0" w:space="0" w:color="auto"/>
            <w:left w:val="none" w:sz="0" w:space="0" w:color="auto"/>
            <w:bottom w:val="none" w:sz="0" w:space="0" w:color="auto"/>
            <w:right w:val="none" w:sz="0" w:space="0" w:color="auto"/>
          </w:divBdr>
          <w:divsChild>
            <w:div w:id="1031958755">
              <w:marLeft w:val="0"/>
              <w:marRight w:val="0"/>
              <w:marTop w:val="0"/>
              <w:marBottom w:val="0"/>
              <w:divBdr>
                <w:top w:val="none" w:sz="0" w:space="0" w:color="auto"/>
                <w:left w:val="none" w:sz="0" w:space="0" w:color="auto"/>
                <w:bottom w:val="none" w:sz="0" w:space="0" w:color="auto"/>
                <w:right w:val="none" w:sz="0" w:space="0" w:color="auto"/>
              </w:divBdr>
              <w:divsChild>
                <w:div w:id="17973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075">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85071830">
      <w:bodyDiv w:val="1"/>
      <w:marLeft w:val="0"/>
      <w:marRight w:val="0"/>
      <w:marTop w:val="0"/>
      <w:marBottom w:val="0"/>
      <w:divBdr>
        <w:top w:val="none" w:sz="0" w:space="0" w:color="auto"/>
        <w:left w:val="none" w:sz="0" w:space="0" w:color="auto"/>
        <w:bottom w:val="none" w:sz="0" w:space="0" w:color="auto"/>
        <w:right w:val="none" w:sz="0" w:space="0" w:color="auto"/>
      </w:divBdr>
    </w:div>
    <w:div w:id="1606421827">
      <w:bodyDiv w:val="1"/>
      <w:marLeft w:val="0"/>
      <w:marRight w:val="0"/>
      <w:marTop w:val="0"/>
      <w:marBottom w:val="0"/>
      <w:divBdr>
        <w:top w:val="none" w:sz="0" w:space="0" w:color="auto"/>
        <w:left w:val="none" w:sz="0" w:space="0" w:color="auto"/>
        <w:bottom w:val="none" w:sz="0" w:space="0" w:color="auto"/>
        <w:right w:val="none" w:sz="0" w:space="0" w:color="auto"/>
      </w:divBdr>
      <w:divsChild>
        <w:div w:id="1110662173">
          <w:marLeft w:val="0"/>
          <w:marRight w:val="0"/>
          <w:marTop w:val="0"/>
          <w:marBottom w:val="0"/>
          <w:divBdr>
            <w:top w:val="none" w:sz="0" w:space="0" w:color="auto"/>
            <w:left w:val="none" w:sz="0" w:space="0" w:color="auto"/>
            <w:bottom w:val="none" w:sz="0" w:space="0" w:color="auto"/>
            <w:right w:val="none" w:sz="0" w:space="0" w:color="auto"/>
          </w:divBdr>
          <w:divsChild>
            <w:div w:id="657079472">
              <w:marLeft w:val="0"/>
              <w:marRight w:val="0"/>
              <w:marTop w:val="0"/>
              <w:marBottom w:val="0"/>
              <w:divBdr>
                <w:top w:val="none" w:sz="0" w:space="0" w:color="auto"/>
                <w:left w:val="none" w:sz="0" w:space="0" w:color="auto"/>
                <w:bottom w:val="none" w:sz="0" w:space="0" w:color="auto"/>
                <w:right w:val="none" w:sz="0" w:space="0" w:color="auto"/>
              </w:divBdr>
              <w:divsChild>
                <w:div w:id="493182206">
                  <w:marLeft w:val="0"/>
                  <w:marRight w:val="0"/>
                  <w:marTop w:val="0"/>
                  <w:marBottom w:val="0"/>
                  <w:divBdr>
                    <w:top w:val="none" w:sz="0" w:space="0" w:color="auto"/>
                    <w:left w:val="none" w:sz="0" w:space="0" w:color="auto"/>
                    <w:bottom w:val="none" w:sz="0" w:space="0" w:color="auto"/>
                    <w:right w:val="none" w:sz="0" w:space="0" w:color="auto"/>
                  </w:divBdr>
                  <w:divsChild>
                    <w:div w:id="290940632">
                      <w:marLeft w:val="0"/>
                      <w:marRight w:val="0"/>
                      <w:marTop w:val="0"/>
                      <w:marBottom w:val="0"/>
                      <w:divBdr>
                        <w:top w:val="none" w:sz="0" w:space="0" w:color="auto"/>
                        <w:left w:val="none" w:sz="0" w:space="0" w:color="auto"/>
                        <w:bottom w:val="none" w:sz="0" w:space="0" w:color="auto"/>
                        <w:right w:val="none" w:sz="0" w:space="0" w:color="auto"/>
                      </w:divBdr>
                      <w:divsChild>
                        <w:div w:id="51346738">
                          <w:marLeft w:val="0"/>
                          <w:marRight w:val="0"/>
                          <w:marTop w:val="0"/>
                          <w:marBottom w:val="0"/>
                          <w:divBdr>
                            <w:top w:val="none" w:sz="0" w:space="0" w:color="auto"/>
                            <w:left w:val="none" w:sz="0" w:space="0" w:color="auto"/>
                            <w:bottom w:val="none" w:sz="0" w:space="0" w:color="auto"/>
                            <w:right w:val="none" w:sz="0" w:space="0" w:color="auto"/>
                          </w:divBdr>
                          <w:divsChild>
                            <w:div w:id="1363048997">
                              <w:marLeft w:val="0"/>
                              <w:marRight w:val="0"/>
                              <w:marTop w:val="0"/>
                              <w:marBottom w:val="0"/>
                              <w:divBdr>
                                <w:top w:val="none" w:sz="0" w:space="0" w:color="auto"/>
                                <w:left w:val="none" w:sz="0" w:space="0" w:color="auto"/>
                                <w:bottom w:val="none" w:sz="0" w:space="0" w:color="auto"/>
                                <w:right w:val="none" w:sz="0" w:space="0" w:color="auto"/>
                              </w:divBdr>
                              <w:divsChild>
                                <w:div w:id="1447189346">
                                  <w:marLeft w:val="0"/>
                                  <w:marRight w:val="0"/>
                                  <w:marTop w:val="0"/>
                                  <w:marBottom w:val="0"/>
                                  <w:divBdr>
                                    <w:top w:val="none" w:sz="0" w:space="0" w:color="auto"/>
                                    <w:left w:val="none" w:sz="0" w:space="0" w:color="auto"/>
                                    <w:bottom w:val="none" w:sz="0" w:space="0" w:color="auto"/>
                                    <w:right w:val="none" w:sz="0" w:space="0" w:color="auto"/>
                                  </w:divBdr>
                                  <w:divsChild>
                                    <w:div w:id="8446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9166">
      <w:bodyDiv w:val="1"/>
      <w:marLeft w:val="0"/>
      <w:marRight w:val="0"/>
      <w:marTop w:val="0"/>
      <w:marBottom w:val="0"/>
      <w:divBdr>
        <w:top w:val="none" w:sz="0" w:space="0" w:color="auto"/>
        <w:left w:val="none" w:sz="0" w:space="0" w:color="auto"/>
        <w:bottom w:val="none" w:sz="0" w:space="0" w:color="auto"/>
        <w:right w:val="none" w:sz="0" w:space="0" w:color="auto"/>
      </w:divBdr>
    </w:div>
    <w:div w:id="1671640025">
      <w:bodyDiv w:val="1"/>
      <w:marLeft w:val="0"/>
      <w:marRight w:val="0"/>
      <w:marTop w:val="0"/>
      <w:marBottom w:val="0"/>
      <w:divBdr>
        <w:top w:val="none" w:sz="0" w:space="0" w:color="auto"/>
        <w:left w:val="none" w:sz="0" w:space="0" w:color="auto"/>
        <w:bottom w:val="none" w:sz="0" w:space="0" w:color="auto"/>
        <w:right w:val="none" w:sz="0" w:space="0" w:color="auto"/>
      </w:divBdr>
    </w:div>
    <w:div w:id="1729453628">
      <w:bodyDiv w:val="1"/>
      <w:marLeft w:val="0"/>
      <w:marRight w:val="0"/>
      <w:marTop w:val="0"/>
      <w:marBottom w:val="0"/>
      <w:divBdr>
        <w:top w:val="none" w:sz="0" w:space="0" w:color="auto"/>
        <w:left w:val="none" w:sz="0" w:space="0" w:color="auto"/>
        <w:bottom w:val="none" w:sz="0" w:space="0" w:color="auto"/>
        <w:right w:val="none" w:sz="0" w:space="0" w:color="auto"/>
      </w:divBdr>
    </w:div>
    <w:div w:id="1731347789">
      <w:bodyDiv w:val="1"/>
      <w:marLeft w:val="0"/>
      <w:marRight w:val="0"/>
      <w:marTop w:val="0"/>
      <w:marBottom w:val="0"/>
      <w:divBdr>
        <w:top w:val="none" w:sz="0" w:space="0" w:color="auto"/>
        <w:left w:val="none" w:sz="0" w:space="0" w:color="auto"/>
        <w:bottom w:val="none" w:sz="0" w:space="0" w:color="auto"/>
        <w:right w:val="none" w:sz="0" w:space="0" w:color="auto"/>
      </w:divBdr>
    </w:div>
    <w:div w:id="1745687545">
      <w:bodyDiv w:val="1"/>
      <w:marLeft w:val="0"/>
      <w:marRight w:val="0"/>
      <w:marTop w:val="0"/>
      <w:marBottom w:val="0"/>
      <w:divBdr>
        <w:top w:val="none" w:sz="0" w:space="0" w:color="auto"/>
        <w:left w:val="none" w:sz="0" w:space="0" w:color="auto"/>
        <w:bottom w:val="none" w:sz="0" w:space="0" w:color="auto"/>
        <w:right w:val="none" w:sz="0" w:space="0" w:color="auto"/>
      </w:divBdr>
    </w:div>
    <w:div w:id="1824858464">
      <w:bodyDiv w:val="1"/>
      <w:marLeft w:val="0"/>
      <w:marRight w:val="0"/>
      <w:marTop w:val="0"/>
      <w:marBottom w:val="0"/>
      <w:divBdr>
        <w:top w:val="none" w:sz="0" w:space="0" w:color="auto"/>
        <w:left w:val="none" w:sz="0" w:space="0" w:color="auto"/>
        <w:bottom w:val="none" w:sz="0" w:space="0" w:color="auto"/>
        <w:right w:val="none" w:sz="0" w:space="0" w:color="auto"/>
      </w:divBdr>
    </w:div>
    <w:div w:id="1835216302">
      <w:bodyDiv w:val="1"/>
      <w:marLeft w:val="0"/>
      <w:marRight w:val="0"/>
      <w:marTop w:val="0"/>
      <w:marBottom w:val="0"/>
      <w:divBdr>
        <w:top w:val="none" w:sz="0" w:space="0" w:color="auto"/>
        <w:left w:val="none" w:sz="0" w:space="0" w:color="auto"/>
        <w:bottom w:val="none" w:sz="0" w:space="0" w:color="auto"/>
        <w:right w:val="none" w:sz="0" w:space="0" w:color="auto"/>
      </w:divBdr>
    </w:div>
    <w:div w:id="1865174049">
      <w:bodyDiv w:val="1"/>
      <w:marLeft w:val="0"/>
      <w:marRight w:val="0"/>
      <w:marTop w:val="0"/>
      <w:marBottom w:val="0"/>
      <w:divBdr>
        <w:top w:val="none" w:sz="0" w:space="0" w:color="auto"/>
        <w:left w:val="none" w:sz="0" w:space="0" w:color="auto"/>
        <w:bottom w:val="none" w:sz="0" w:space="0" w:color="auto"/>
        <w:right w:val="none" w:sz="0" w:space="0" w:color="auto"/>
      </w:divBdr>
    </w:div>
    <w:div w:id="1909419591">
      <w:bodyDiv w:val="1"/>
      <w:marLeft w:val="0"/>
      <w:marRight w:val="0"/>
      <w:marTop w:val="0"/>
      <w:marBottom w:val="0"/>
      <w:divBdr>
        <w:top w:val="none" w:sz="0" w:space="0" w:color="auto"/>
        <w:left w:val="none" w:sz="0" w:space="0" w:color="auto"/>
        <w:bottom w:val="none" w:sz="0" w:space="0" w:color="auto"/>
        <w:right w:val="none" w:sz="0" w:space="0" w:color="auto"/>
      </w:divBdr>
    </w:div>
    <w:div w:id="1939099289">
      <w:bodyDiv w:val="1"/>
      <w:marLeft w:val="0"/>
      <w:marRight w:val="0"/>
      <w:marTop w:val="0"/>
      <w:marBottom w:val="0"/>
      <w:divBdr>
        <w:top w:val="none" w:sz="0" w:space="0" w:color="auto"/>
        <w:left w:val="none" w:sz="0" w:space="0" w:color="auto"/>
        <w:bottom w:val="none" w:sz="0" w:space="0" w:color="auto"/>
        <w:right w:val="none" w:sz="0" w:space="0" w:color="auto"/>
      </w:divBdr>
    </w:div>
    <w:div w:id="1961915945">
      <w:bodyDiv w:val="1"/>
      <w:marLeft w:val="0"/>
      <w:marRight w:val="0"/>
      <w:marTop w:val="0"/>
      <w:marBottom w:val="0"/>
      <w:divBdr>
        <w:top w:val="none" w:sz="0" w:space="0" w:color="auto"/>
        <w:left w:val="none" w:sz="0" w:space="0" w:color="auto"/>
        <w:bottom w:val="none" w:sz="0" w:space="0" w:color="auto"/>
        <w:right w:val="none" w:sz="0" w:space="0" w:color="auto"/>
      </w:divBdr>
    </w:div>
    <w:div w:id="2062173697">
      <w:bodyDiv w:val="1"/>
      <w:marLeft w:val="0"/>
      <w:marRight w:val="0"/>
      <w:marTop w:val="0"/>
      <w:marBottom w:val="0"/>
      <w:divBdr>
        <w:top w:val="none" w:sz="0" w:space="0" w:color="auto"/>
        <w:left w:val="none" w:sz="0" w:space="0" w:color="auto"/>
        <w:bottom w:val="none" w:sz="0" w:space="0" w:color="auto"/>
        <w:right w:val="none" w:sz="0" w:space="0" w:color="auto"/>
      </w:divBdr>
    </w:div>
    <w:div w:id="2074499179">
      <w:bodyDiv w:val="1"/>
      <w:marLeft w:val="0"/>
      <w:marRight w:val="0"/>
      <w:marTop w:val="0"/>
      <w:marBottom w:val="0"/>
      <w:divBdr>
        <w:top w:val="none" w:sz="0" w:space="0" w:color="auto"/>
        <w:left w:val="none" w:sz="0" w:space="0" w:color="auto"/>
        <w:bottom w:val="none" w:sz="0" w:space="0" w:color="auto"/>
        <w:right w:val="none" w:sz="0" w:space="0" w:color="auto"/>
      </w:divBdr>
    </w:div>
    <w:div w:id="2081755654">
      <w:bodyDiv w:val="1"/>
      <w:marLeft w:val="0"/>
      <w:marRight w:val="0"/>
      <w:marTop w:val="0"/>
      <w:marBottom w:val="0"/>
      <w:divBdr>
        <w:top w:val="none" w:sz="0" w:space="0" w:color="auto"/>
        <w:left w:val="none" w:sz="0" w:space="0" w:color="auto"/>
        <w:bottom w:val="none" w:sz="0" w:space="0" w:color="auto"/>
        <w:right w:val="none" w:sz="0" w:space="0" w:color="auto"/>
      </w:divBdr>
    </w:div>
    <w:div w:id="21207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au/Series/C2004A01234" TargetMode="External"/><Relationship Id="rId117" Type="http://schemas.openxmlformats.org/officeDocument/2006/relationships/hyperlink" Target="https://www.education.gov.au/information-vet-student-loans-approved-providers" TargetMode="External"/><Relationship Id="rId21" Type="http://schemas.openxmlformats.org/officeDocument/2006/relationships/hyperlink" Target="http://www.legislation.gov.au/Series/F2016L02016" TargetMode="External"/><Relationship Id="rId42" Type="http://schemas.openxmlformats.org/officeDocument/2006/relationships/hyperlink" Target="http://www.education.gov.au/tuition-assurance-and-provider-closures" TargetMode="External"/><Relationship Id="rId47" Type="http://schemas.openxmlformats.org/officeDocument/2006/relationships/hyperlink" Target="https://docs.education.gov.au/node/33983" TargetMode="External"/><Relationship Id="rId63" Type="http://schemas.openxmlformats.org/officeDocument/2006/relationships/hyperlink" Target="https://www.legislation.gov.au/Details/F2014L01377" TargetMode="External"/><Relationship Id="rId68" Type="http://schemas.openxmlformats.org/officeDocument/2006/relationships/hyperlink" Target="http://www.border.gov.au/Trav/Citi/Curr/evidence-of-australian-citizenship" TargetMode="External"/><Relationship Id="rId84" Type="http://schemas.openxmlformats.org/officeDocument/2006/relationships/hyperlink" Target="http://www.education.gov.au/information-vet-student-loans-approved-providers" TargetMode="External"/><Relationship Id="rId89" Type="http://schemas.openxmlformats.org/officeDocument/2006/relationships/hyperlink" Target="http://www.myskills.gov.au" TargetMode="External"/><Relationship Id="rId112" Type="http://schemas.openxmlformats.org/officeDocument/2006/relationships/hyperlink" Target="http://heimshelp.education.gov.au/sites/heimshelp/2017_data_requirements/2017dataelements/pages/384" TargetMode="External"/><Relationship Id="rId133" Type="http://schemas.openxmlformats.org/officeDocument/2006/relationships/footer" Target="footer8.xml"/><Relationship Id="rId138" Type="http://schemas.openxmlformats.org/officeDocument/2006/relationships/footer" Target="footer10.xml"/><Relationship Id="rId154" Type="http://schemas.openxmlformats.org/officeDocument/2006/relationships/header" Target="header8.xml"/><Relationship Id="rId16" Type="http://schemas.openxmlformats.org/officeDocument/2006/relationships/footer" Target="footer3.xml"/><Relationship Id="rId107" Type="http://schemas.openxmlformats.org/officeDocument/2006/relationships/hyperlink" Target="http://www.education.gov.au/information-vet-student-loans-approved-providers" TargetMode="External"/><Relationship Id="rId11" Type="http://schemas.openxmlformats.org/officeDocument/2006/relationships/header" Target="header1.xml"/><Relationship Id="rId32" Type="http://schemas.openxmlformats.org/officeDocument/2006/relationships/hyperlink" Target="http://www.studyassist.gov.au" TargetMode="External"/><Relationship Id="rId37" Type="http://schemas.openxmlformats.org/officeDocument/2006/relationships/hyperlink" Target="http://www.education.gov.au/vet-student-loans" TargetMode="External"/><Relationship Id="rId53" Type="http://schemas.openxmlformats.org/officeDocument/2006/relationships/hyperlink" Target="http://www.legislation.gov.au/Series/F2016L02016" TargetMode="External"/><Relationship Id="rId58" Type="http://schemas.openxmlformats.org/officeDocument/2006/relationships/hyperlink" Target="https://www.legislation.gov.au/Series/F2016L02016" TargetMode="External"/><Relationship Id="rId74" Type="http://schemas.openxmlformats.org/officeDocument/2006/relationships/hyperlink" Target="http://www.border.gov.au/vevo" TargetMode="External"/><Relationship Id="rId79" Type="http://schemas.openxmlformats.org/officeDocument/2006/relationships/hyperlink" Target="http://heimshelp.education.gov.au/sites/heimshelp/dictionary/pages/data-element-dictionary" TargetMode="External"/><Relationship Id="rId102" Type="http://schemas.openxmlformats.org/officeDocument/2006/relationships/image" Target="media/image10.png"/><Relationship Id="rId123" Type="http://schemas.openxmlformats.org/officeDocument/2006/relationships/footer" Target="footer5.xml"/><Relationship Id="rId128" Type="http://schemas.openxmlformats.org/officeDocument/2006/relationships/footer" Target="footer6.xml"/><Relationship Id="rId144" Type="http://schemas.openxmlformats.org/officeDocument/2006/relationships/hyperlink" Target="https://docs.education.gov.au/node/44421" TargetMode="External"/><Relationship Id="rId149" Type="http://schemas.openxmlformats.org/officeDocument/2006/relationships/hyperlink" Target="https://www.education.gov.au/newsletters" TargetMode="External"/><Relationship Id="rId5" Type="http://schemas.openxmlformats.org/officeDocument/2006/relationships/webSettings" Target="webSettings.xml"/><Relationship Id="rId90" Type="http://schemas.openxmlformats.org/officeDocument/2006/relationships/hyperlink" Target="https://www.myskills.gov.au/media/1412/my-skills-user-guide-add-edit-course-fee-information.docx" TargetMode="External"/><Relationship Id="rId95" Type="http://schemas.openxmlformats.org/officeDocument/2006/relationships/image" Target="media/image8.png"/><Relationship Id="rId22" Type="http://schemas.openxmlformats.org/officeDocument/2006/relationships/hyperlink" Target="http://www.legislation.gov.au/Series/F2017L01060" TargetMode="External"/><Relationship Id="rId27" Type="http://schemas.openxmlformats.org/officeDocument/2006/relationships/hyperlink" Target="https://docs.education.gov.au/node/33983" TargetMode="External"/><Relationship Id="rId43" Type="http://schemas.openxmlformats.org/officeDocument/2006/relationships/hyperlink" Target="http://www.education.gov.au/information-vet-student-loans-approved-providers" TargetMode="External"/><Relationship Id="rId48" Type="http://schemas.openxmlformats.org/officeDocument/2006/relationships/hyperlink" Target="http://www.education.gov.au/information-vet-student-loans-approved-providers" TargetMode="External"/><Relationship Id="rId64" Type="http://schemas.openxmlformats.org/officeDocument/2006/relationships/image" Target="media/image6.png"/><Relationship Id="rId69" Type="http://schemas.openxmlformats.org/officeDocument/2006/relationships/hyperlink" Target="http://www.border.gov.au/Trav/Citi/Curr/evidence-of-australian-citizenship" TargetMode="External"/><Relationship Id="rId113" Type="http://schemas.openxmlformats.org/officeDocument/2006/relationships/hyperlink" Target="http://heimshelp.education.gov.au/sites/heimshelp/2017_data_requirements/2017vet/pages/vet-2017" TargetMode="External"/><Relationship Id="rId118" Type="http://schemas.openxmlformats.org/officeDocument/2006/relationships/image" Target="media/image11.png"/><Relationship Id="rId134" Type="http://schemas.openxmlformats.org/officeDocument/2006/relationships/footer" Target="footer9.xml"/><Relationship Id="rId139" Type="http://schemas.openxmlformats.org/officeDocument/2006/relationships/hyperlink" Target="https://www.education.gov.au/information-vet-student-loans-approved-providers" TargetMode="External"/><Relationship Id="rId80" Type="http://schemas.openxmlformats.org/officeDocument/2006/relationships/hyperlink" Target="https://www.aqf.edu.au/previous-versions-of-the-aqf" TargetMode="External"/><Relationship Id="rId85" Type="http://schemas.openxmlformats.org/officeDocument/2006/relationships/hyperlink" Target="https://docs.education.gov.au/node/39981" TargetMode="External"/><Relationship Id="rId150" Type="http://schemas.openxmlformats.org/officeDocument/2006/relationships/hyperlink" Target="https://docs.education.gov.au/node/44091" TargetMode="External"/><Relationship Id="rId155" Type="http://schemas.openxmlformats.org/officeDocument/2006/relationships/footer" Target="footer11.xml"/><Relationship Id="rId12" Type="http://schemas.openxmlformats.org/officeDocument/2006/relationships/header" Target="header2.xml"/><Relationship Id="rId17" Type="http://schemas.openxmlformats.org/officeDocument/2006/relationships/image" Target="media/image5.png"/><Relationship Id="rId33" Type="http://schemas.openxmlformats.org/officeDocument/2006/relationships/hyperlink" Target="http://www.education.gov.au/information-vet-student-loans-approved-providers" TargetMode="External"/><Relationship Id="rId38" Type="http://schemas.openxmlformats.org/officeDocument/2006/relationships/hyperlink" Target="http://www.education.gov.au/vet-student-loans" TargetMode="External"/><Relationship Id="rId59" Type="http://schemas.openxmlformats.org/officeDocument/2006/relationships/hyperlink" Target="https://www.legislation.gov.au/Series/F2016L02016" TargetMode="External"/><Relationship Id="rId103" Type="http://schemas.openxmlformats.org/officeDocument/2006/relationships/hyperlink" Target="https://docs.education.gov.au/documents/hits-user-guide-december-2015" TargetMode="External"/><Relationship Id="rId108" Type="http://schemas.openxmlformats.org/officeDocument/2006/relationships/hyperlink" Target="http://heimshelp.education.gov.au/sites/heimshelp/2017_data_requirements/2017vet/pages/vet-2017" TargetMode="External"/><Relationship Id="rId124" Type="http://schemas.openxmlformats.org/officeDocument/2006/relationships/hyperlink" Target="http://training.gov.au/Training/Details/BSBCRT501" TargetMode="External"/><Relationship Id="rId129" Type="http://schemas.openxmlformats.org/officeDocument/2006/relationships/header" Target="header4.xml"/><Relationship Id="rId20" Type="http://schemas.openxmlformats.org/officeDocument/2006/relationships/hyperlink" Target="http://www.legislation.gov.au/Series/F2016L02030" TargetMode="External"/><Relationship Id="rId41" Type="http://schemas.openxmlformats.org/officeDocument/2006/relationships/hyperlink" Target="http://www.vrqa.vic.gov.au/" TargetMode="External"/><Relationship Id="rId54" Type="http://schemas.openxmlformats.org/officeDocument/2006/relationships/hyperlink" Target="https://www.legislation.gov.au/Series/F2016L02016" TargetMode="External"/><Relationship Id="rId62" Type="http://schemas.openxmlformats.org/officeDocument/2006/relationships/hyperlink" Target="http://app.heims.education.gov.au/HeimsOnline/IPInfo/Payment/IndexSearch" TargetMode="External"/><Relationship Id="rId70" Type="http://schemas.openxmlformats.org/officeDocument/2006/relationships/hyperlink" Target="http://www.border.gov.au/Trav/Citi/Curr/evidence-of-australian-citizenship" TargetMode="External"/><Relationship Id="rId75" Type="http://schemas.openxmlformats.org/officeDocument/2006/relationships/hyperlink" Target="https://www.education.gov.au/faqs-new-zealand-special-category-visa-holders" TargetMode="External"/><Relationship Id="rId83" Type="http://schemas.openxmlformats.org/officeDocument/2006/relationships/hyperlink" Target="http://www.education.gov.au/information-vet-student-loans-approved-providers" TargetMode="External"/><Relationship Id="rId88" Type="http://schemas.openxmlformats.org/officeDocument/2006/relationships/hyperlink" Target="http://www.ombudsman.gov.au/about/vet-student-loans-ombudsman" TargetMode="External"/><Relationship Id="rId91" Type="http://schemas.openxmlformats.org/officeDocument/2006/relationships/hyperlink" Target="https://www.legislation.gov.au/Details/F2014L01377/Download" TargetMode="External"/><Relationship Id="rId96" Type="http://schemas.openxmlformats.org/officeDocument/2006/relationships/hyperlink" Target="https://www.education.gov.au/information-vet-student-loans-approved-providers" TargetMode="External"/><Relationship Id="rId111" Type="http://schemas.openxmlformats.org/officeDocument/2006/relationships/hyperlink" Target="http://heimshelp.education.gov.au/sites/heimshelp/2017_data_requirements/2017dataelements/pages/558" TargetMode="External"/><Relationship Id="rId132" Type="http://schemas.openxmlformats.org/officeDocument/2006/relationships/hyperlink" Target="http://www.aat.gov.au" TargetMode="External"/><Relationship Id="rId140" Type="http://schemas.openxmlformats.org/officeDocument/2006/relationships/hyperlink" Target="https://docs.education.gov.au/node/44501" TargetMode="External"/><Relationship Id="rId145" Type="http://schemas.openxmlformats.org/officeDocument/2006/relationships/hyperlink" Target="https://www.education.gov.au/vet-student-loans-statistics" TargetMode="External"/><Relationship Id="rId153" Type="http://schemas.openxmlformats.org/officeDocument/2006/relationships/hyperlink" Target="http://www.education.gov.au/tuition-assurance-and-provider-closu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legislation.gov.au/Series/F2017L00821" TargetMode="External"/><Relationship Id="rId28" Type="http://schemas.openxmlformats.org/officeDocument/2006/relationships/hyperlink" Target="http://heimshelp.education.gov.au/sites/heimshelp" TargetMode="External"/><Relationship Id="rId36" Type="http://schemas.openxmlformats.org/officeDocument/2006/relationships/hyperlink" Target="http://www.education.gov.au/vet-student-loans" TargetMode="External"/><Relationship Id="rId49" Type="http://schemas.openxmlformats.org/officeDocument/2006/relationships/hyperlink" Target="http://www.education.gov.au/information-vet-student-loans-approved-providers" TargetMode="External"/><Relationship Id="rId57" Type="http://schemas.openxmlformats.org/officeDocument/2006/relationships/hyperlink" Target="http://www.education.gov.au/information-vet-student-loans-approved-providers" TargetMode="External"/><Relationship Id="rId106" Type="http://schemas.openxmlformats.org/officeDocument/2006/relationships/hyperlink" Target="http://www.education.gov.au/vet-student-loans-students" TargetMode="External"/><Relationship Id="rId114" Type="http://schemas.openxmlformats.org/officeDocument/2006/relationships/hyperlink" Target="http://heimshelp.education.gov.au/sites/heimshelp/2018_data_requirements/2018vet/pages/vet-2018" TargetMode="External"/><Relationship Id="rId119" Type="http://schemas.openxmlformats.org/officeDocument/2006/relationships/hyperlink" Target="http://www.education.gov.au/information-vet-student-loans-approved-providers" TargetMode="External"/><Relationship Id="rId127" Type="http://schemas.openxmlformats.org/officeDocument/2006/relationships/hyperlink" Target="http://training.gov.au/Training/Details/BSBWHS501" TargetMode="External"/><Relationship Id="rId10" Type="http://schemas.openxmlformats.org/officeDocument/2006/relationships/image" Target="media/image3.jpeg"/><Relationship Id="rId31" Type="http://schemas.openxmlformats.org/officeDocument/2006/relationships/hyperlink" Target="http://www.myskills.gov.au" TargetMode="External"/><Relationship Id="rId44" Type="http://schemas.openxmlformats.org/officeDocument/2006/relationships/hyperlink" Target="http://www.education.gov.au/information-vet-student-loans-approved-providers" TargetMode="External"/><Relationship Id="rId52" Type="http://schemas.openxmlformats.org/officeDocument/2006/relationships/hyperlink" Target="https://docs.education.gov.au/node/33983" TargetMode="External"/><Relationship Id="rId60" Type="http://schemas.openxmlformats.org/officeDocument/2006/relationships/hyperlink" Target="https://www.legislation.gov.au/Series/F2016L02016" TargetMode="External"/><Relationship Id="rId65" Type="http://schemas.openxmlformats.org/officeDocument/2006/relationships/hyperlink" Target="http://www.education.gov.au/information-vet-student-loans-approved-providers" TargetMode="External"/><Relationship Id="rId73" Type="http://schemas.openxmlformats.org/officeDocument/2006/relationships/hyperlink" Target="https://www.border.gov.au/" TargetMode="External"/><Relationship Id="rId78" Type="http://schemas.openxmlformats.org/officeDocument/2006/relationships/hyperlink" Target="http://heimshelp.education.gov.au/sites/heimshelp/Support/Documents/UserGuides/HA-Guide-Viewing-Student-Entitlement.pdf" TargetMode="External"/><Relationship Id="rId81" Type="http://schemas.openxmlformats.org/officeDocument/2006/relationships/hyperlink" Target="http://www.education.gov.au/vet-student-loans" TargetMode="External"/><Relationship Id="rId86" Type="http://schemas.openxmlformats.org/officeDocument/2006/relationships/hyperlink" Target="mailto:VSLDataandIT@education.gov.au" TargetMode="External"/><Relationship Id="rId94" Type="http://schemas.openxmlformats.org/officeDocument/2006/relationships/hyperlink" Target="http://heimshelp.education.gov.au/sites/heimshelp/Resources/Documents/Reporting-RPL-Diagram.pdf" TargetMode="External"/><Relationship Id="rId99" Type="http://schemas.openxmlformats.org/officeDocument/2006/relationships/image" Target="media/image9.png"/><Relationship Id="rId101" Type="http://schemas.openxmlformats.org/officeDocument/2006/relationships/hyperlink" Target="https://www.education.gov.au/census-dates" TargetMode="External"/><Relationship Id="rId122" Type="http://schemas.openxmlformats.org/officeDocument/2006/relationships/footer" Target="footer4.xml"/><Relationship Id="rId130" Type="http://schemas.openxmlformats.org/officeDocument/2006/relationships/footer" Target="footer7.xml"/><Relationship Id="rId135" Type="http://schemas.openxmlformats.org/officeDocument/2006/relationships/header" Target="header5.xml"/><Relationship Id="rId143" Type="http://schemas.openxmlformats.org/officeDocument/2006/relationships/hyperlink" Target="https://docs.education.gov.au/node/44906" TargetMode="External"/><Relationship Id="rId148" Type="http://schemas.openxmlformats.org/officeDocument/2006/relationships/hyperlink" Target="https://docs.education.gov.au/node/44141" TargetMode="External"/><Relationship Id="rId151" Type="http://schemas.openxmlformats.org/officeDocument/2006/relationships/hyperlink" Target="http://www.education.gov.au/vet-student-loans-and-vet-fee-help-compliance-0" TargetMode="External"/><Relationship Id="rId156"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legislation.gov.au/Series/C2016A00098" TargetMode="External"/><Relationship Id="rId39" Type="http://schemas.openxmlformats.org/officeDocument/2006/relationships/hyperlink" Target="http://www.legislation.gov.au/Series/F2017L00821" TargetMode="External"/><Relationship Id="rId109" Type="http://schemas.openxmlformats.org/officeDocument/2006/relationships/hyperlink" Target="https://docs.education.gov.au/node/43281" TargetMode="External"/><Relationship Id="rId34" Type="http://schemas.openxmlformats.org/officeDocument/2006/relationships/hyperlink" Target="http://www.training.gov.au/" TargetMode="External"/><Relationship Id="rId50" Type="http://schemas.openxmlformats.org/officeDocument/2006/relationships/hyperlink" Target="https://www.education.gov.au/information-vet-student-loans-approved-providers" TargetMode="External"/><Relationship Id="rId55" Type="http://schemas.openxmlformats.org/officeDocument/2006/relationships/hyperlink" Target="http://www.training.gov.au" TargetMode="External"/><Relationship Id="rId76" Type="http://schemas.openxmlformats.org/officeDocument/2006/relationships/hyperlink" Target="http://www.studyassist.gov.au/" TargetMode="External"/><Relationship Id="rId97" Type="http://schemas.openxmlformats.org/officeDocument/2006/relationships/hyperlink" Target="https://docs.education.gov.au/documents/hits-user-guide-december-2015" TargetMode="External"/><Relationship Id="rId104" Type="http://schemas.openxmlformats.org/officeDocument/2006/relationships/hyperlink" Target="http://www.education.gov.au/information-vet-student-loans-approved-providers" TargetMode="External"/><Relationship Id="rId120" Type="http://schemas.openxmlformats.org/officeDocument/2006/relationships/hyperlink" Target="http://www.education.gov.au/information-vet-student-loans-approved-providers" TargetMode="External"/><Relationship Id="rId125" Type="http://schemas.openxmlformats.org/officeDocument/2006/relationships/hyperlink" Target="http://training.gov.au/Training/Details/BSBWHS501" TargetMode="External"/><Relationship Id="rId141" Type="http://schemas.openxmlformats.org/officeDocument/2006/relationships/hyperlink" Target="https://docs.education.gov.au/node/43281" TargetMode="External"/><Relationship Id="rId146" Type="http://schemas.openxmlformats.org/officeDocument/2006/relationships/hyperlink" Target="https://docs.education.gov.au/node/43871" TargetMode="External"/><Relationship Id="rId7" Type="http://schemas.openxmlformats.org/officeDocument/2006/relationships/endnotes" Target="endnotes.xml"/><Relationship Id="rId71" Type="http://schemas.openxmlformats.org/officeDocument/2006/relationships/hyperlink" Target="http://www.border.gov.au/Trav/Citi/Curr/evidence-of-australian-citizenship" TargetMode="External"/><Relationship Id="rId92" Type="http://schemas.openxmlformats.org/officeDocument/2006/relationships/hyperlink" Target="http://www.asqa.gov.au/sites/g/files/net2166/f/Users_Guide_to_the_Standards_for_Registered_Training_Organisations_RTOs_2015.pdf" TargetMode="External"/><Relationship Id="rId2" Type="http://schemas.openxmlformats.org/officeDocument/2006/relationships/numbering" Target="numbering.xml"/><Relationship Id="rId29" Type="http://schemas.openxmlformats.org/officeDocument/2006/relationships/hyperlink" Target="http://www.education.gov.au/vet-student-loans" TargetMode="External"/><Relationship Id="rId24" Type="http://schemas.openxmlformats.org/officeDocument/2006/relationships/hyperlink" Target="http://www.legislation.gov.au/Series/F2017L00609" TargetMode="External"/><Relationship Id="rId40" Type="http://schemas.openxmlformats.org/officeDocument/2006/relationships/hyperlink" Target="http://www.education.gov.au/vet-student-loans" TargetMode="External"/><Relationship Id="rId45" Type="http://schemas.openxmlformats.org/officeDocument/2006/relationships/hyperlink" Target="mailto:VETTuitionAssurance@education.gov.au" TargetMode="External"/><Relationship Id="rId66" Type="http://schemas.openxmlformats.org/officeDocument/2006/relationships/hyperlink" Target="https://docs.education.gov.au/documents/hits-user-guide-december-2015" TargetMode="External"/><Relationship Id="rId87" Type="http://schemas.openxmlformats.org/officeDocument/2006/relationships/hyperlink" Target="http://heimshelp.education.gov.au/sites/heimshelp/support/revisions/pages/reporting-student-help-debts-to-the-ato" TargetMode="External"/><Relationship Id="rId110" Type="http://schemas.openxmlformats.org/officeDocument/2006/relationships/hyperlink" Target="http://heimshelp.education.gov.au/sites/heimshelp/2017_data_requirements/2017dataelements/pages/381" TargetMode="External"/><Relationship Id="rId115" Type="http://schemas.openxmlformats.org/officeDocument/2006/relationships/hyperlink" Target="https://www.education.gov.au/vet-student-loans" TargetMode="External"/><Relationship Id="rId131" Type="http://schemas.openxmlformats.org/officeDocument/2006/relationships/hyperlink" Target="http://www.comlaw.gov.au/Series/F2006B11660" TargetMode="External"/><Relationship Id="rId136" Type="http://schemas.openxmlformats.org/officeDocument/2006/relationships/header" Target="header6.xml"/><Relationship Id="rId157" Type="http://schemas.openxmlformats.org/officeDocument/2006/relationships/fontTable" Target="fontTable.xml"/><Relationship Id="rId61" Type="http://schemas.openxmlformats.org/officeDocument/2006/relationships/hyperlink" Target="http://www.asic.gov.au/for-finance-professionals/credit-licensees/do-you-need-a-credit-licence/" TargetMode="External"/><Relationship Id="rId82" Type="http://schemas.openxmlformats.org/officeDocument/2006/relationships/hyperlink" Target="https://docs.education.gov.au/documents/hits-user-guide-december-2015" TargetMode="External"/><Relationship Id="rId152" Type="http://schemas.openxmlformats.org/officeDocument/2006/relationships/hyperlink" Target="http://www.education.gov.au/language-literacy-and-numeracy-lln-assessment-tool-information" TargetMode="External"/><Relationship Id="rId19" Type="http://schemas.openxmlformats.org/officeDocument/2006/relationships/hyperlink" Target="https://www.legislation.gov.au/Details/C2016A00099" TargetMode="External"/><Relationship Id="rId14" Type="http://schemas.openxmlformats.org/officeDocument/2006/relationships/footer" Target="footer2.xml"/><Relationship Id="rId30" Type="http://schemas.openxmlformats.org/officeDocument/2006/relationships/hyperlink" Target="http://www.myskills.gov.au" TargetMode="External"/><Relationship Id="rId35" Type="http://schemas.openxmlformats.org/officeDocument/2006/relationships/hyperlink" Target="mailto:HEEnquiries@education.gov.au" TargetMode="External"/><Relationship Id="rId56" Type="http://schemas.openxmlformats.org/officeDocument/2006/relationships/hyperlink" Target="https://docs.education.gov.au/node/43871" TargetMode="External"/><Relationship Id="rId77" Type="http://schemas.openxmlformats.org/officeDocument/2006/relationships/image" Target="media/image7.png"/><Relationship Id="rId100" Type="http://schemas.openxmlformats.org/officeDocument/2006/relationships/hyperlink" Target="https://www.education.gov.au/debt-complaints" TargetMode="External"/><Relationship Id="rId105" Type="http://schemas.openxmlformats.org/officeDocument/2006/relationships/hyperlink" Target="http://www.myskills.gov.au" TargetMode="External"/><Relationship Id="rId126" Type="http://schemas.openxmlformats.org/officeDocument/2006/relationships/hyperlink" Target="http://training.gov.au/Training/Details/BSBCRT501" TargetMode="External"/><Relationship Id="rId147" Type="http://schemas.openxmlformats.org/officeDocument/2006/relationships/hyperlink" Target="https://docs.education.gov.au/node/42981" TargetMode="External"/><Relationship Id="rId8" Type="http://schemas.openxmlformats.org/officeDocument/2006/relationships/image" Target="media/image1.jpeg"/><Relationship Id="rId51" Type="http://schemas.openxmlformats.org/officeDocument/2006/relationships/hyperlink" Target="http://www.education.gov.au/vet-student-loans" TargetMode="External"/><Relationship Id="rId72" Type="http://schemas.openxmlformats.org/officeDocument/2006/relationships/hyperlink" Target="http://www.border.gov.au/Trav/Citi/Curr/evidence-of-australian-citizenship" TargetMode="External"/><Relationship Id="rId93" Type="http://schemas.openxmlformats.org/officeDocument/2006/relationships/hyperlink" Target="http://heimshelp.education.gov.au/sites/heimshelp/resources/glossary/pages/glossaryterm?title=Recognition%20of%20prior%20learning" TargetMode="External"/><Relationship Id="rId98" Type="http://schemas.openxmlformats.org/officeDocument/2006/relationships/hyperlink" Target="http://www.education.gov.au/information-vet-student-loans-approved-providers" TargetMode="External"/><Relationship Id="rId121" Type="http://schemas.openxmlformats.org/officeDocument/2006/relationships/hyperlink" Target="https://www.legislation.gov.au/Details/F2014L01377" TargetMode="External"/><Relationship Id="rId142" Type="http://schemas.openxmlformats.org/officeDocument/2006/relationships/hyperlink" Target="https://docs.education.gov.au/node/43766" TargetMode="External"/><Relationship Id="rId3" Type="http://schemas.openxmlformats.org/officeDocument/2006/relationships/styles" Target="styles.xml"/><Relationship Id="rId25" Type="http://schemas.openxmlformats.org/officeDocument/2006/relationships/hyperlink" Target="https://www.legislation.gov.au/Series/C2014A00036" TargetMode="External"/><Relationship Id="rId46" Type="http://schemas.openxmlformats.org/officeDocument/2006/relationships/hyperlink" Target="http://www.education.gov.au/tuition-assurance-and-provider-closures" TargetMode="External"/><Relationship Id="rId67" Type="http://schemas.openxmlformats.org/officeDocument/2006/relationships/hyperlink" Target="http://www.education.gov.au/information-vet-student-loans-approved-providers" TargetMode="External"/><Relationship Id="rId116" Type="http://schemas.openxmlformats.org/officeDocument/2006/relationships/hyperlink" Target="http://www.education.gov.au/vet-fee-help-statistics" TargetMode="External"/><Relationship Id="rId137" Type="http://schemas.openxmlformats.org/officeDocument/2006/relationships/header" Target="header7.xml"/><Relationship Id="rId158" Type="http://schemas.openxmlformats.org/officeDocument/2006/relationships/theme" Target="theme/theme1.xml"/></Relationships>
</file>

<file path=word/_rels/footer10.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2.jpg"/></Relationships>
</file>

<file path=word/_rels/footer11.xml.rels><?xml version="1.0" encoding="UTF-8" standalone="yes"?>
<Relationships xmlns="http://schemas.openxmlformats.org/package/2006/relationships"><Relationship Id="rId1" Type="http://schemas.openxmlformats.org/officeDocument/2006/relationships/image" Target="media/image4.jpeg"/></Relationships>
</file>

<file path=word/_rels/footer12.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2.jpg"/></Relationships>
</file>

<file path=word/_rels/foot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2.jp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D90F-BAAB-42E7-AF67-190E4A07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47085</Words>
  <Characters>268391</Characters>
  <Application>Microsoft Office Word</Application>
  <DocSecurity>0</DocSecurity>
  <Lines>2236</Lines>
  <Paragraphs>629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2018-01-18T00:51:00Z</dcterms:created>
  <dcterms:modified xsi:type="dcterms:W3CDTF">2018-01-18T00:51:00Z</dcterms:modified>
</cp:coreProperties>
</file>